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D" w:rsidRPr="00050528" w:rsidRDefault="00316CD8" w:rsidP="002E69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2E691D" w:rsidRPr="00050528">
        <w:rPr>
          <w:b/>
          <w:sz w:val="32"/>
          <w:szCs w:val="32"/>
        </w:rPr>
        <w:t>EMORANDUM</w:t>
      </w:r>
    </w:p>
    <w:p w:rsidR="00484C95" w:rsidRPr="005B6C17" w:rsidRDefault="00484C95">
      <w:pPr>
        <w:tabs>
          <w:tab w:val="left" w:pos="1440"/>
          <w:tab w:val="left" w:pos="1800"/>
        </w:tabs>
      </w:pPr>
    </w:p>
    <w:p w:rsidR="00E4522A" w:rsidRDefault="007A63CE">
      <w:pPr>
        <w:tabs>
          <w:tab w:val="left" w:pos="1440"/>
          <w:tab w:val="left" w:pos="1800"/>
        </w:tabs>
      </w:pPr>
      <w:r>
        <w:rPr>
          <w:b/>
        </w:rPr>
        <w:t>T</w:t>
      </w:r>
      <w:r w:rsidR="00E4522A" w:rsidRPr="00383B39">
        <w:rPr>
          <w:b/>
        </w:rPr>
        <w:t>O:</w:t>
      </w:r>
      <w:r w:rsidR="00E4522A">
        <w:tab/>
      </w:r>
      <w:r w:rsidR="004C48C6">
        <w:t xml:space="preserve">Directors, </w:t>
      </w:r>
      <w:r w:rsidR="004C48C6">
        <w:rPr>
          <w:rFonts w:cs="Arial"/>
        </w:rPr>
        <w:t>Human Resources Management/Personnel</w:t>
      </w:r>
    </w:p>
    <w:p w:rsidR="00E4522A" w:rsidRDefault="00E4522A">
      <w:pPr>
        <w:tabs>
          <w:tab w:val="left" w:pos="1440"/>
          <w:tab w:val="left" w:pos="1800"/>
        </w:tabs>
      </w:pPr>
    </w:p>
    <w:p w:rsidR="00E4522A" w:rsidRDefault="00E4522A">
      <w:pPr>
        <w:tabs>
          <w:tab w:val="left" w:pos="1440"/>
          <w:tab w:val="left" w:pos="1800"/>
        </w:tabs>
      </w:pPr>
      <w:r w:rsidRPr="00383B39">
        <w:rPr>
          <w:b/>
        </w:rPr>
        <w:t>FROM:</w:t>
      </w:r>
      <w:r w:rsidR="00F82471">
        <w:tab/>
        <w:t>Director, Division of</w:t>
      </w:r>
      <w:r>
        <w:t xml:space="preserve"> Classification and Compensation</w:t>
      </w:r>
    </w:p>
    <w:p w:rsidR="00E4522A" w:rsidRDefault="00E4522A">
      <w:pPr>
        <w:tabs>
          <w:tab w:val="left" w:pos="1440"/>
          <w:tab w:val="left" w:pos="1800"/>
        </w:tabs>
      </w:pPr>
    </w:p>
    <w:p w:rsidR="00E4522A" w:rsidRDefault="00E4522A">
      <w:pPr>
        <w:tabs>
          <w:tab w:val="left" w:pos="1440"/>
          <w:tab w:val="left" w:pos="1800"/>
        </w:tabs>
        <w:ind w:left="1440" w:hanging="1440"/>
        <w:jc w:val="both"/>
      </w:pPr>
      <w:r w:rsidRPr="00383B39">
        <w:rPr>
          <w:b/>
        </w:rPr>
        <w:t>SUBJECT:</w:t>
      </w:r>
      <w:r>
        <w:tab/>
      </w:r>
      <w:r w:rsidR="00FA40C3">
        <w:t xml:space="preserve">State Fiscal Year </w:t>
      </w:r>
      <w:r w:rsidR="00944635">
        <w:t>2010</w:t>
      </w:r>
      <w:r w:rsidR="00FA40C3">
        <w:t>-</w:t>
      </w:r>
      <w:r w:rsidR="00944635">
        <w:t>11</w:t>
      </w:r>
      <w:r w:rsidR="00791F82">
        <w:t xml:space="preserve"> Memorandum </w:t>
      </w:r>
      <w:r w:rsidR="00882A4D">
        <w:rPr>
          <w:b/>
          <w:u w:val="single"/>
        </w:rPr>
        <w:t xml:space="preserve">(Effective April </w:t>
      </w:r>
      <w:r w:rsidR="00944635">
        <w:rPr>
          <w:b/>
          <w:u w:val="single"/>
        </w:rPr>
        <w:t>201</w:t>
      </w:r>
      <w:r w:rsidR="004328DF">
        <w:rPr>
          <w:b/>
          <w:u w:val="single"/>
        </w:rPr>
        <w:t>4</w:t>
      </w:r>
      <w:r w:rsidR="00A938A9" w:rsidRPr="00C9291C">
        <w:rPr>
          <w:b/>
          <w:u w:val="single"/>
        </w:rPr>
        <w:t>)</w:t>
      </w:r>
      <w:r w:rsidR="00A938A9">
        <w:t xml:space="preserve"> </w:t>
      </w:r>
      <w:r w:rsidR="00791F82">
        <w:t xml:space="preserve">of </w:t>
      </w:r>
      <w:r w:rsidR="005B31BD">
        <w:t>Revised Salaries for</w:t>
      </w:r>
      <w:r w:rsidR="00BB0EFD">
        <w:t xml:space="preserve"> CSEA Represented</w:t>
      </w:r>
      <w:r w:rsidR="005B31BD">
        <w:t xml:space="preserve"> </w:t>
      </w:r>
      <w:r>
        <w:rPr>
          <w:u w:val="single"/>
        </w:rPr>
        <w:t xml:space="preserve">Administrative </w:t>
      </w:r>
      <w:r w:rsidR="000C5FFD">
        <w:rPr>
          <w:u w:val="single"/>
        </w:rPr>
        <w:t xml:space="preserve">Services </w:t>
      </w:r>
      <w:r>
        <w:rPr>
          <w:u w:val="single"/>
        </w:rPr>
        <w:t>(02), Operational</w:t>
      </w:r>
      <w:r w:rsidR="000C5FFD">
        <w:rPr>
          <w:u w:val="single"/>
        </w:rPr>
        <w:t xml:space="preserve"> Services</w:t>
      </w:r>
      <w:r>
        <w:rPr>
          <w:u w:val="single"/>
        </w:rPr>
        <w:t xml:space="preserve"> (03), and Institutional </w:t>
      </w:r>
      <w:r w:rsidR="000C5FFD">
        <w:rPr>
          <w:u w:val="single"/>
        </w:rPr>
        <w:t xml:space="preserve">Services </w:t>
      </w:r>
      <w:r>
        <w:rPr>
          <w:u w:val="single"/>
        </w:rPr>
        <w:t>(04</w:t>
      </w:r>
      <w:r w:rsidRPr="00AB721F">
        <w:rPr>
          <w:u w:val="single"/>
        </w:rPr>
        <w:t>)</w:t>
      </w:r>
      <w:r w:rsidR="00AB721F">
        <w:t xml:space="preserve"> </w:t>
      </w:r>
      <w:r w:rsidR="00BB0EFD">
        <w:t xml:space="preserve">Negotiating Unit </w:t>
      </w:r>
      <w:r w:rsidR="00E532B6">
        <w:t>Trainee</w:t>
      </w:r>
      <w:r w:rsidR="005B31BD">
        <w:t>ship Titles</w:t>
      </w:r>
    </w:p>
    <w:p w:rsidR="00196CEC" w:rsidRDefault="00196CEC">
      <w:pPr>
        <w:tabs>
          <w:tab w:val="left" w:pos="1440"/>
          <w:tab w:val="left" w:pos="1800"/>
        </w:tabs>
      </w:pPr>
    </w:p>
    <w:p w:rsidR="00CC5493" w:rsidRPr="006D0497" w:rsidRDefault="00CC5493">
      <w:pPr>
        <w:tabs>
          <w:tab w:val="left" w:pos="1440"/>
          <w:tab w:val="left" w:pos="1800"/>
        </w:tabs>
      </w:pPr>
      <w:r w:rsidRPr="00383B39">
        <w:rPr>
          <w:b/>
        </w:rPr>
        <w:t>DATE:</w:t>
      </w:r>
      <w:r>
        <w:tab/>
      </w:r>
      <w:r w:rsidR="00175A39">
        <w:t>January</w:t>
      </w:r>
      <w:r w:rsidR="00DD173A">
        <w:t xml:space="preserve"> 201</w:t>
      </w:r>
      <w:r w:rsidR="00175A39">
        <w:t>5</w:t>
      </w:r>
    </w:p>
    <w:p w:rsidR="00CC5493" w:rsidRDefault="00CC5493">
      <w:pPr>
        <w:tabs>
          <w:tab w:val="left" w:pos="1440"/>
          <w:tab w:val="left" w:pos="1800"/>
        </w:tabs>
      </w:pPr>
    </w:p>
    <w:p w:rsidR="00E4522A" w:rsidRPr="00383B39" w:rsidRDefault="00E4522A" w:rsidP="00E4522A">
      <w:pPr>
        <w:tabs>
          <w:tab w:val="left" w:pos="1440"/>
          <w:tab w:val="left" w:pos="1800"/>
        </w:tabs>
        <w:jc w:val="center"/>
        <w:rPr>
          <w:b/>
        </w:rPr>
      </w:pPr>
      <w:r w:rsidRPr="00383B39">
        <w:rPr>
          <w:b/>
        </w:rPr>
        <w:t>* * * * * * * * * * * *</w:t>
      </w:r>
    </w:p>
    <w:p w:rsidR="00CC5493" w:rsidRDefault="00CC5493">
      <w:pPr>
        <w:tabs>
          <w:tab w:val="left" w:pos="1440"/>
          <w:tab w:val="left" w:pos="1800"/>
        </w:tabs>
      </w:pPr>
    </w:p>
    <w:p w:rsidR="005B31BD" w:rsidRDefault="00E4522A" w:rsidP="00FA40C3">
      <w:pPr>
        <w:ind w:firstLine="720"/>
        <w:jc w:val="both"/>
      </w:pPr>
      <w:r>
        <w:t xml:space="preserve">This </w:t>
      </w:r>
      <w:r w:rsidR="00851ABA">
        <w:t xml:space="preserve">Memorandum </w:t>
      </w:r>
      <w:r w:rsidR="000925A1">
        <w:t>supersedes</w:t>
      </w:r>
      <w:r w:rsidR="00851ABA">
        <w:t xml:space="preserve"> all previous </w:t>
      </w:r>
      <w:r w:rsidR="000C5FFD">
        <w:rPr>
          <w:u w:val="single"/>
        </w:rPr>
        <w:t>Administrative Services (02), Operational Services (03), and Institutional Services (04</w:t>
      </w:r>
      <w:r w:rsidR="000C5FFD" w:rsidRPr="00AB721F">
        <w:rPr>
          <w:u w:val="single"/>
        </w:rPr>
        <w:t>)</w:t>
      </w:r>
      <w:r w:rsidR="00AB721F">
        <w:t xml:space="preserve"> </w:t>
      </w:r>
      <w:r w:rsidR="00AB721F" w:rsidRPr="00AB721F">
        <w:t>Negotiation</w:t>
      </w:r>
      <w:r w:rsidR="00AB721F">
        <w:t xml:space="preserve"> Unit</w:t>
      </w:r>
      <w:r w:rsidR="008261D1">
        <w:t xml:space="preserve"> </w:t>
      </w:r>
      <w:r w:rsidR="00E532B6">
        <w:t>Trainee</w:t>
      </w:r>
      <w:r w:rsidR="008261D1">
        <w:t>ship Advisory Memoranda</w:t>
      </w:r>
      <w:r w:rsidR="0063622D">
        <w:t>.</w:t>
      </w:r>
    </w:p>
    <w:p w:rsidR="005B31BD" w:rsidRDefault="005B31BD" w:rsidP="00D07651">
      <w:pPr>
        <w:jc w:val="both"/>
      </w:pPr>
    </w:p>
    <w:p w:rsidR="00D07651" w:rsidRDefault="00D07651" w:rsidP="00D254BB">
      <w:pPr>
        <w:ind w:firstLine="720"/>
        <w:jc w:val="both"/>
      </w:pPr>
      <w:r>
        <w:t xml:space="preserve">These revised </w:t>
      </w:r>
      <w:r w:rsidR="00D254BB">
        <w:t xml:space="preserve">salary </w:t>
      </w:r>
      <w:r>
        <w:t xml:space="preserve">rates are </w:t>
      </w:r>
      <w:r w:rsidR="00A938A9" w:rsidRPr="00A938A9">
        <w:rPr>
          <w:b/>
          <w:u w:val="single"/>
        </w:rPr>
        <w:t>E</w:t>
      </w:r>
      <w:r w:rsidRPr="00A938A9">
        <w:rPr>
          <w:b/>
          <w:u w:val="single"/>
        </w:rPr>
        <w:t xml:space="preserve">ffective April </w:t>
      </w:r>
      <w:r w:rsidR="00944635">
        <w:rPr>
          <w:b/>
          <w:u w:val="single"/>
        </w:rPr>
        <w:t>201</w:t>
      </w:r>
      <w:r w:rsidR="00445420">
        <w:rPr>
          <w:b/>
          <w:u w:val="single"/>
        </w:rPr>
        <w:t>4</w:t>
      </w:r>
      <w:r w:rsidR="00D254BB">
        <w:t xml:space="preserve"> and apply to all </w:t>
      </w:r>
      <w:proofErr w:type="spellStart"/>
      <w:r w:rsidR="00D254BB">
        <w:t>parenthetics</w:t>
      </w:r>
      <w:proofErr w:type="spellEnd"/>
      <w:r>
        <w:t>.</w:t>
      </w:r>
    </w:p>
    <w:p w:rsidR="00E4522A" w:rsidRDefault="00E4522A">
      <w:pPr>
        <w:jc w:val="both"/>
      </w:pPr>
    </w:p>
    <w:p w:rsidR="00CE267F" w:rsidRPr="00641174" w:rsidRDefault="0028106B" w:rsidP="00731883">
      <w:pPr>
        <w:ind w:firstLine="720"/>
        <w:jc w:val="both"/>
        <w:rPr>
          <w:szCs w:val="24"/>
        </w:rPr>
      </w:pPr>
      <w:r>
        <w:t xml:space="preserve">As in previous years, </w:t>
      </w:r>
      <w:r w:rsidR="00E532B6">
        <w:t>Trainee</w:t>
      </w:r>
      <w:r>
        <w:t>ship information is provided in an</w:t>
      </w:r>
      <w:r w:rsidR="00415605">
        <w:t xml:space="preserve"> </w:t>
      </w:r>
      <w:r w:rsidR="00E532B6">
        <w:t>Excel</w:t>
      </w:r>
      <w:r w:rsidR="00CE267F">
        <w:t xml:space="preserve"> spreadsheet.  The spreadsheet can be </w:t>
      </w:r>
      <w:r w:rsidR="00B81F1A">
        <w:t xml:space="preserve">found on the </w:t>
      </w:r>
      <w:r w:rsidR="00B81F1A" w:rsidRPr="00DE315D">
        <w:rPr>
          <w:szCs w:val="24"/>
        </w:rPr>
        <w:t>D</w:t>
      </w:r>
      <w:r w:rsidR="005A5177">
        <w:rPr>
          <w:szCs w:val="24"/>
        </w:rPr>
        <w:t xml:space="preserve">epartment of Civil Service’s </w:t>
      </w:r>
      <w:r w:rsidR="00B81F1A">
        <w:rPr>
          <w:szCs w:val="24"/>
        </w:rPr>
        <w:t xml:space="preserve">Web Site </w:t>
      </w:r>
      <w:r w:rsidR="00B81F1A" w:rsidRPr="00DE315D">
        <w:rPr>
          <w:szCs w:val="24"/>
        </w:rPr>
        <w:t>at</w:t>
      </w:r>
      <w:r w:rsidR="00395D73">
        <w:t xml:space="preserve"> </w:t>
      </w:r>
      <w:hyperlink r:id="rId9" w:history="1">
        <w:r w:rsidR="00395D73" w:rsidRPr="00C35A23">
          <w:rPr>
            <w:rStyle w:val="Hyperlink"/>
          </w:rPr>
          <w:t>http://www.cs.ny.gov/businesssuite/Appointments/Traineeships/</w:t>
        </w:r>
      </w:hyperlink>
      <w:r w:rsidR="00395D73">
        <w:t>.</w:t>
      </w:r>
      <w:r w:rsidR="00B81F1A">
        <w:rPr>
          <w:szCs w:val="24"/>
        </w:rPr>
        <w:t xml:space="preserve">  </w:t>
      </w:r>
      <w:r w:rsidR="00CE267F">
        <w:rPr>
          <w:szCs w:val="24"/>
        </w:rPr>
        <w:t xml:space="preserve">The spreadsheet </w:t>
      </w:r>
      <w:r w:rsidR="002338C2" w:rsidRPr="003A135A">
        <w:rPr>
          <w:szCs w:val="24"/>
        </w:rPr>
        <w:t xml:space="preserve">only </w:t>
      </w:r>
      <w:r w:rsidR="003A135A">
        <w:rPr>
          <w:szCs w:val="24"/>
        </w:rPr>
        <w:t xml:space="preserve">will </w:t>
      </w:r>
      <w:r w:rsidR="00CE267F" w:rsidRPr="003A135A">
        <w:rPr>
          <w:szCs w:val="24"/>
        </w:rPr>
        <w:t>be updated</w:t>
      </w:r>
      <w:r w:rsidR="00CE267F">
        <w:rPr>
          <w:szCs w:val="24"/>
        </w:rPr>
        <w:t xml:space="preserve"> </w:t>
      </w:r>
      <w:r w:rsidR="002338C2">
        <w:rPr>
          <w:szCs w:val="24"/>
        </w:rPr>
        <w:t xml:space="preserve">when a </w:t>
      </w:r>
      <w:r w:rsidR="00E532B6">
        <w:rPr>
          <w:szCs w:val="24"/>
        </w:rPr>
        <w:t>Trainee</w:t>
      </w:r>
      <w:r w:rsidR="002338C2">
        <w:rPr>
          <w:szCs w:val="24"/>
        </w:rPr>
        <w:t>ship is added, deleted, or amended</w:t>
      </w:r>
      <w:r w:rsidR="00CE267F">
        <w:rPr>
          <w:szCs w:val="24"/>
        </w:rPr>
        <w:t>.</w:t>
      </w:r>
    </w:p>
    <w:p w:rsidR="00CE267F" w:rsidRDefault="00CE267F" w:rsidP="00CE267F">
      <w:pPr>
        <w:jc w:val="both"/>
      </w:pPr>
    </w:p>
    <w:p w:rsidR="00CE267F" w:rsidRDefault="0015274C" w:rsidP="00CE267F">
      <w:pPr>
        <w:ind w:firstLine="720"/>
        <w:jc w:val="both"/>
      </w:pPr>
      <w:r>
        <w:t xml:space="preserve">The following </w:t>
      </w:r>
      <w:r w:rsidR="00415605">
        <w:t xml:space="preserve">attachments explain the </w:t>
      </w:r>
      <w:r w:rsidR="00E532B6">
        <w:t>Excel</w:t>
      </w:r>
      <w:r w:rsidR="00CE267F">
        <w:t xml:space="preserve"> spreadsheet format and provide further guidance on</w:t>
      </w:r>
      <w:r w:rsidR="006774B5">
        <w:t xml:space="preserve"> spreadsheet footnote descriptions</w:t>
      </w:r>
      <w:r w:rsidR="00CE267F">
        <w:t xml:space="preserve"> and </w:t>
      </w:r>
      <w:r w:rsidR="00E532B6">
        <w:t>Trainee</w:t>
      </w:r>
      <w:r w:rsidR="00CE267F">
        <w:t>ship salary rate progression scenarios.</w:t>
      </w:r>
    </w:p>
    <w:p w:rsidR="00CE267F" w:rsidRDefault="00CE267F" w:rsidP="00CE267F">
      <w:pPr>
        <w:jc w:val="both"/>
      </w:pPr>
    </w:p>
    <w:p w:rsidR="00CE267F" w:rsidRDefault="00CE267F" w:rsidP="00CE267F">
      <w:pPr>
        <w:ind w:firstLine="720"/>
        <w:jc w:val="both"/>
      </w:pPr>
      <w:r>
        <w:rPr>
          <w:rFonts w:cs="Arial"/>
        </w:rPr>
        <w:t xml:space="preserve">This information is for </w:t>
      </w:r>
      <w:r w:rsidRPr="00163035">
        <w:rPr>
          <w:rFonts w:cs="Arial"/>
          <w:b/>
          <w:i/>
          <w:u w:val="single"/>
        </w:rPr>
        <w:t>general information purposes only</w:t>
      </w:r>
      <w:r>
        <w:rPr>
          <w:rFonts w:cs="Arial"/>
        </w:rPr>
        <w:t xml:space="preserve"> and should </w:t>
      </w:r>
      <w:r w:rsidRPr="00856135">
        <w:rPr>
          <w:rFonts w:cs="Arial"/>
          <w:u w:val="single"/>
        </w:rPr>
        <w:t>not be used to make an official offer or commitment</w:t>
      </w:r>
      <w:r>
        <w:rPr>
          <w:rFonts w:cs="Arial"/>
        </w:rPr>
        <w:t xml:space="preserve"> </w:t>
      </w:r>
      <w:r w:rsidRPr="00856135">
        <w:rPr>
          <w:rFonts w:cs="Arial"/>
        </w:rPr>
        <w:t>to</w:t>
      </w:r>
      <w:r>
        <w:rPr>
          <w:rFonts w:cs="Arial"/>
        </w:rPr>
        <w:t xml:space="preserve"> any employee.  </w:t>
      </w:r>
      <w:r>
        <w:t>Questions regarding titles and salary rates should be directed to your Division of Classification and Compensation analyst.  Q</w:t>
      </w:r>
      <w:r>
        <w:rPr>
          <w:rFonts w:cs="Arial"/>
        </w:rPr>
        <w:t xml:space="preserve">uestions regarding payroll preparation and salary rate calculation </w:t>
      </w:r>
      <w:r>
        <w:t xml:space="preserve">should be directed to the Office of the State Comptroller and/or the Office of the State Comptroller’s Salary Manual.  </w:t>
      </w:r>
    </w:p>
    <w:p w:rsidR="00CE267F" w:rsidRDefault="00CE267F" w:rsidP="00CE267F">
      <w:pPr>
        <w:jc w:val="both"/>
      </w:pPr>
    </w:p>
    <w:p w:rsidR="00CE267F" w:rsidRDefault="00CE267F" w:rsidP="00CE267F">
      <w:pPr>
        <w:ind w:firstLine="720"/>
        <w:jc w:val="both"/>
      </w:pPr>
      <w:r>
        <w:t>Please distribute copies to your appropriate personnel and payroll staff.</w:t>
      </w:r>
    </w:p>
    <w:p w:rsidR="00F84C75" w:rsidRDefault="00F84C75" w:rsidP="00F84C75">
      <w:pPr>
        <w:jc w:val="both"/>
      </w:pPr>
    </w:p>
    <w:p w:rsidR="00F84C75" w:rsidRDefault="00F84C75" w:rsidP="00F84C75">
      <w:pPr>
        <w:jc w:val="both"/>
      </w:pPr>
    </w:p>
    <w:p w:rsidR="00F84C75" w:rsidRPr="00837D62" w:rsidRDefault="00F84C75" w:rsidP="00F84C75">
      <w:pPr>
        <w:ind w:left="4320"/>
        <w:jc w:val="both"/>
        <w:rPr>
          <w:u w:val="single"/>
        </w:rPr>
      </w:pPr>
      <w:r>
        <w:rPr>
          <w:u w:val="single"/>
        </w:rPr>
        <w:t>_____________</w:t>
      </w:r>
      <w:r w:rsidR="00B04255">
        <w:rPr>
          <w:u w:val="single"/>
        </w:rPr>
        <w:t>/s/</w:t>
      </w:r>
      <w:r>
        <w:rPr>
          <w:u w:val="single"/>
        </w:rPr>
        <w:t>___________</w:t>
      </w:r>
      <w:r w:rsidR="00245B88">
        <w:rPr>
          <w:u w:val="single"/>
        </w:rPr>
        <w:t>__</w:t>
      </w:r>
    </w:p>
    <w:p w:rsidR="00F84C75" w:rsidRDefault="00CB0E85" w:rsidP="00F84C75">
      <w:pPr>
        <w:ind w:left="5040"/>
        <w:jc w:val="both"/>
      </w:pPr>
      <w:r>
        <w:t>Abner JeanPierre</w:t>
      </w:r>
    </w:p>
    <w:p w:rsidR="00CE267F" w:rsidRDefault="00CE267F" w:rsidP="00CE267F">
      <w:pPr>
        <w:jc w:val="both"/>
      </w:pPr>
    </w:p>
    <w:p w:rsidR="00CE267F" w:rsidRPr="000F4E91" w:rsidRDefault="00CE267F" w:rsidP="00CE267F">
      <w:pPr>
        <w:jc w:val="both"/>
      </w:pPr>
      <w:r>
        <w:t>Attachments</w:t>
      </w:r>
    </w:p>
    <w:p w:rsidR="00170F7A" w:rsidRDefault="00E669C8" w:rsidP="00170F7A">
      <w:pPr>
        <w:jc w:val="center"/>
        <w:rPr>
          <w:b/>
          <w:sz w:val="28"/>
          <w:szCs w:val="28"/>
        </w:rPr>
      </w:pPr>
      <w:r>
        <w:br w:type="page"/>
      </w:r>
      <w:r w:rsidR="00170F7A" w:rsidRPr="00170F7A">
        <w:rPr>
          <w:b/>
          <w:sz w:val="28"/>
          <w:szCs w:val="28"/>
        </w:rPr>
        <w:lastRenderedPageBreak/>
        <w:t>ATTACHMENT A</w:t>
      </w:r>
      <w:r w:rsidR="00170F7A">
        <w:rPr>
          <w:b/>
          <w:sz w:val="28"/>
          <w:szCs w:val="28"/>
        </w:rPr>
        <w:t xml:space="preserve"> – </w:t>
      </w:r>
      <w:r w:rsidR="00E532B6">
        <w:rPr>
          <w:b/>
          <w:sz w:val="28"/>
          <w:szCs w:val="28"/>
        </w:rPr>
        <w:t>TRAINEE</w:t>
      </w:r>
      <w:r w:rsidR="00231278">
        <w:rPr>
          <w:b/>
          <w:sz w:val="28"/>
          <w:szCs w:val="28"/>
        </w:rPr>
        <w:t xml:space="preserve">SHIP </w:t>
      </w:r>
      <w:r w:rsidR="00E532B6">
        <w:rPr>
          <w:b/>
          <w:sz w:val="28"/>
          <w:szCs w:val="28"/>
        </w:rPr>
        <w:t>EXCEL</w:t>
      </w:r>
      <w:r w:rsidR="00B32C1B">
        <w:rPr>
          <w:b/>
          <w:sz w:val="28"/>
          <w:szCs w:val="28"/>
        </w:rPr>
        <w:t xml:space="preserve"> </w:t>
      </w:r>
      <w:r w:rsidR="00131226">
        <w:rPr>
          <w:b/>
          <w:sz w:val="28"/>
          <w:szCs w:val="28"/>
        </w:rPr>
        <w:t>SPREADSHEET LEGEND</w:t>
      </w:r>
    </w:p>
    <w:p w:rsidR="00B6386D" w:rsidRDefault="00B6386D" w:rsidP="00E669C8"/>
    <w:p w:rsidR="00B6386D" w:rsidRPr="00B6386D" w:rsidRDefault="00B6386D" w:rsidP="00CB0811">
      <w:pPr>
        <w:tabs>
          <w:tab w:val="left" w:pos="360"/>
        </w:tabs>
        <w:jc w:val="center"/>
        <w:rPr>
          <w:b/>
          <w:u w:val="single"/>
        </w:rPr>
      </w:pPr>
      <w:r w:rsidRPr="00B6386D">
        <w:rPr>
          <w:b/>
          <w:u w:val="single"/>
        </w:rPr>
        <w:t>Headers and Descriptions</w:t>
      </w:r>
    </w:p>
    <w:p w:rsidR="00E669C8" w:rsidRDefault="00E669C8" w:rsidP="00E669C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50"/>
      </w:tblGrid>
      <w:tr w:rsidR="00E669C8" w:rsidTr="00C678B6">
        <w:tc>
          <w:tcPr>
            <w:tcW w:w="1908" w:type="dxa"/>
            <w:shd w:val="clear" w:color="auto" w:fill="B3B3B3"/>
          </w:tcPr>
          <w:p w:rsidR="00E669C8" w:rsidRPr="00C678B6" w:rsidRDefault="008C2260" w:rsidP="00EF68D5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Header</w:t>
            </w:r>
          </w:p>
        </w:tc>
        <w:tc>
          <w:tcPr>
            <w:tcW w:w="7650" w:type="dxa"/>
            <w:shd w:val="clear" w:color="auto" w:fill="B3B3B3"/>
          </w:tcPr>
          <w:p w:rsidR="00E669C8" w:rsidRPr="00C678B6" w:rsidRDefault="00E669C8" w:rsidP="00C678B6">
            <w:pPr>
              <w:jc w:val="both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908" w:type="dxa"/>
          </w:tcPr>
          <w:p w:rsidR="00E669C8" w:rsidRPr="00C678B6" w:rsidRDefault="00E532B6" w:rsidP="00EF68D5">
            <w:pPr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E669C8" w:rsidRPr="00C678B6">
              <w:rPr>
                <w:b/>
                <w:sz w:val="20"/>
              </w:rPr>
              <w:t xml:space="preserve"> Title</w:t>
            </w:r>
          </w:p>
        </w:tc>
        <w:tc>
          <w:tcPr>
            <w:tcW w:w="7650" w:type="dxa"/>
          </w:tcPr>
          <w:p w:rsidR="00E669C8" w:rsidRDefault="00E669C8" w:rsidP="00546D2A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column displays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title(s).  </w:t>
            </w:r>
          </w:p>
          <w:p w:rsidR="00A3693C" w:rsidRPr="00C678B6" w:rsidRDefault="00A3693C" w:rsidP="00546D2A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F34BA0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Equated </w:t>
            </w:r>
            <w:r w:rsidR="00E669C8" w:rsidRPr="00C678B6">
              <w:rPr>
                <w:b/>
                <w:sz w:val="20"/>
              </w:rPr>
              <w:t>Salary</w:t>
            </w:r>
            <w:r w:rsidR="00B27B30" w:rsidRPr="00C678B6">
              <w:rPr>
                <w:b/>
                <w:sz w:val="20"/>
              </w:rPr>
              <w:t xml:space="preserve"> Grade</w:t>
            </w:r>
          </w:p>
        </w:tc>
        <w:tc>
          <w:tcPr>
            <w:tcW w:w="7650" w:type="dxa"/>
          </w:tcPr>
          <w:p w:rsidR="00C75638" w:rsidRDefault="00C44334" w:rsidP="00C4433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Though </w:t>
            </w:r>
            <w:r w:rsidR="00E532B6">
              <w:rPr>
                <w:sz w:val="20"/>
              </w:rPr>
              <w:t>Trainee</w:t>
            </w:r>
            <w:r>
              <w:rPr>
                <w:sz w:val="20"/>
              </w:rPr>
              <w:t xml:space="preserve">ship pay scales are considered non-graded, most </w:t>
            </w:r>
            <w:r w:rsidR="00E532B6">
              <w:rPr>
                <w:sz w:val="20"/>
              </w:rPr>
              <w:t>Trainee</w:t>
            </w:r>
            <w:r>
              <w:rPr>
                <w:sz w:val="20"/>
              </w:rPr>
              <w:t xml:space="preserve">ships in most bargaining units are equated to a salary grade, meaning that in most cases the starting salary of the </w:t>
            </w:r>
            <w:r w:rsidR="00E532B6">
              <w:rPr>
                <w:sz w:val="20"/>
              </w:rPr>
              <w:t>Trainee</w:t>
            </w:r>
            <w:r w:rsidR="00840970">
              <w:rPr>
                <w:sz w:val="20"/>
              </w:rPr>
              <w:t>ship</w:t>
            </w:r>
            <w:r>
              <w:rPr>
                <w:sz w:val="20"/>
              </w:rPr>
              <w:t xml:space="preserve"> will be the same as a </w:t>
            </w:r>
            <w:r w:rsidR="00840970">
              <w:rPr>
                <w:sz w:val="20"/>
              </w:rPr>
              <w:t>graded</w:t>
            </w:r>
            <w:r>
              <w:rPr>
                <w:sz w:val="20"/>
              </w:rPr>
              <w:t xml:space="preserve"> employee’s pay at the indicated “equated” grade</w:t>
            </w:r>
            <w:r w:rsidRPr="00681F02">
              <w:rPr>
                <w:sz w:val="20"/>
              </w:rPr>
              <w:t>.</w:t>
            </w:r>
            <w:r w:rsidR="009665E8">
              <w:rPr>
                <w:sz w:val="20"/>
              </w:rPr>
              <w:t xml:space="preserve">  This column shows the salary grade to which a given </w:t>
            </w:r>
            <w:r w:rsidR="00E532B6">
              <w:rPr>
                <w:sz w:val="20"/>
              </w:rPr>
              <w:t>Trainee</w:t>
            </w:r>
            <w:r w:rsidR="009665E8">
              <w:rPr>
                <w:sz w:val="20"/>
              </w:rPr>
              <w:t>ship is equated.</w:t>
            </w:r>
            <w:r>
              <w:rPr>
                <w:sz w:val="20"/>
              </w:rPr>
              <w:t xml:space="preserve">  NA means that </w:t>
            </w:r>
            <w:r w:rsidR="00D25D24">
              <w:rPr>
                <w:sz w:val="20"/>
              </w:rPr>
              <w:t>a</w:t>
            </w:r>
            <w:r>
              <w:rPr>
                <w:sz w:val="20"/>
              </w:rPr>
              <w:t xml:space="preserve"> particular </w:t>
            </w:r>
            <w:r w:rsidR="00E532B6">
              <w:rPr>
                <w:sz w:val="20"/>
              </w:rPr>
              <w:t>Trainee</w:t>
            </w:r>
            <w:r>
              <w:rPr>
                <w:sz w:val="20"/>
              </w:rPr>
              <w:t>ship is not equated to a salary grade.</w:t>
            </w:r>
            <w:r w:rsidR="00D25D24">
              <w:rPr>
                <w:sz w:val="20"/>
              </w:rPr>
              <w:t xml:space="preserve">  </w:t>
            </w:r>
          </w:p>
          <w:p w:rsidR="00C75638" w:rsidRDefault="00C75638" w:rsidP="00C44334">
            <w:pPr>
              <w:jc w:val="both"/>
              <w:rPr>
                <w:sz w:val="20"/>
              </w:rPr>
            </w:pPr>
          </w:p>
          <w:p w:rsidR="009665E8" w:rsidRDefault="00D25D24" w:rsidP="00C44334">
            <w:pPr>
              <w:jc w:val="both"/>
              <w:rPr>
                <w:sz w:val="20"/>
              </w:rPr>
            </w:pPr>
            <w:r>
              <w:rPr>
                <w:sz w:val="20"/>
              </w:rPr>
              <w:t>Certain Traineeship</w:t>
            </w:r>
            <w:r w:rsidR="00821A39">
              <w:rPr>
                <w:sz w:val="20"/>
              </w:rPr>
              <w:t xml:space="preserve"> salarie</w:t>
            </w:r>
            <w:r>
              <w:rPr>
                <w:sz w:val="20"/>
              </w:rPr>
              <w:t>s in certain Counties are subject to an increase to address recruitment difficulties; those are noted when and where appropriate.</w:t>
            </w:r>
          </w:p>
          <w:p w:rsidR="009665E8" w:rsidRDefault="009665E8" w:rsidP="00C44334">
            <w:pPr>
              <w:jc w:val="both"/>
              <w:rPr>
                <w:sz w:val="20"/>
              </w:rPr>
            </w:pPr>
          </w:p>
          <w:p w:rsidR="00EC1155" w:rsidRDefault="00C75638" w:rsidP="00C4433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Some salaries for other Traineeships, due to union contracts, also are presented as the equated amount plus a specific dollar amount.  That </w:t>
            </w:r>
            <w:r w:rsidR="000C44EB">
              <w:rPr>
                <w:sz w:val="20"/>
              </w:rPr>
              <w:t>dollar amount is increased by a percentage that matches the percentage raise in the currently operative union contract for the negotiation unit at issue.</w:t>
            </w:r>
          </w:p>
          <w:p w:rsidR="00EC1155" w:rsidRDefault="00EC1155" w:rsidP="00C44334">
            <w:pPr>
              <w:jc w:val="both"/>
              <w:rPr>
                <w:sz w:val="20"/>
              </w:rPr>
            </w:pPr>
          </w:p>
          <w:p w:rsidR="00131226" w:rsidRPr="00C678B6" w:rsidRDefault="00131226" w:rsidP="00C44334">
            <w:pPr>
              <w:jc w:val="both"/>
              <w:rPr>
                <w:sz w:val="20"/>
              </w:rPr>
            </w:pPr>
            <w:r w:rsidRPr="00C678B6">
              <w:rPr>
                <w:sz w:val="20"/>
              </w:rPr>
              <w:t>There will be cases</w:t>
            </w:r>
            <w:r w:rsidR="00B27B30" w:rsidRPr="00C678B6">
              <w:rPr>
                <w:sz w:val="20"/>
              </w:rPr>
              <w:t xml:space="preserve">, based on prior </w:t>
            </w:r>
            <w:r w:rsidR="00414089" w:rsidRPr="00C678B6">
              <w:rPr>
                <w:sz w:val="20"/>
              </w:rPr>
              <w:t xml:space="preserve">graded </w:t>
            </w:r>
            <w:r w:rsidR="00B27B30" w:rsidRPr="00C678B6">
              <w:rPr>
                <w:sz w:val="20"/>
              </w:rPr>
              <w:t>State service,</w:t>
            </w:r>
            <w:r w:rsidRPr="00C678B6">
              <w:rPr>
                <w:sz w:val="20"/>
              </w:rPr>
              <w:t xml:space="preserve"> where State employees appointed to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will be compensated at a higher rate than those indicated </w:t>
            </w:r>
            <w:r w:rsidR="00B27B30" w:rsidRPr="00C678B6">
              <w:rPr>
                <w:sz w:val="20"/>
              </w:rPr>
              <w:t xml:space="preserve">on the </w:t>
            </w:r>
            <w:r w:rsidR="00E532B6">
              <w:rPr>
                <w:sz w:val="20"/>
              </w:rPr>
              <w:t>Excel</w:t>
            </w:r>
            <w:r w:rsidR="00B27B30" w:rsidRPr="00C678B6">
              <w:rPr>
                <w:sz w:val="20"/>
              </w:rPr>
              <w:t xml:space="preserve"> spreadsheets</w:t>
            </w:r>
            <w:r w:rsidRPr="00C678B6">
              <w:rPr>
                <w:sz w:val="20"/>
              </w:rPr>
              <w:t xml:space="preserve">.  </w:t>
            </w:r>
            <w:r w:rsidR="00E94648">
              <w:rPr>
                <w:sz w:val="20"/>
              </w:rPr>
              <w:t>In these as in all cases, t</w:t>
            </w:r>
            <w:r w:rsidRPr="00C678B6">
              <w:rPr>
                <w:sz w:val="20"/>
              </w:rPr>
              <w:t>he actual compensation paid to these employees will be determined by the Office of the State Comptroller.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F34BA0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Equated </w:t>
            </w:r>
            <w:r w:rsidR="00E669C8" w:rsidRPr="00C678B6">
              <w:rPr>
                <w:b/>
                <w:sz w:val="20"/>
              </w:rPr>
              <w:t>Salary Grade Hir</w:t>
            </w:r>
            <w:r w:rsidR="0054779C" w:rsidRPr="00C678B6">
              <w:rPr>
                <w:b/>
                <w:sz w:val="20"/>
              </w:rPr>
              <w:t>ing</w:t>
            </w:r>
            <w:r w:rsidR="00E669C8" w:rsidRPr="00C678B6">
              <w:rPr>
                <w:b/>
                <w:sz w:val="20"/>
              </w:rPr>
              <w:t xml:space="preserve"> Rate</w:t>
            </w:r>
          </w:p>
        </w:tc>
        <w:tc>
          <w:tcPr>
            <w:tcW w:w="7650" w:type="dxa"/>
          </w:tcPr>
          <w:p w:rsidR="0004219B" w:rsidRDefault="0004219B" w:rsidP="002476F6">
            <w:pPr>
              <w:jc w:val="both"/>
              <w:rPr>
                <w:sz w:val="20"/>
              </w:rPr>
            </w:pPr>
            <w:r>
              <w:rPr>
                <w:sz w:val="20"/>
              </w:rPr>
              <w:t>This column shows t</w:t>
            </w:r>
            <w:r w:rsidR="00A139C2">
              <w:rPr>
                <w:sz w:val="20"/>
              </w:rPr>
              <w:t>he salary associated with the equated salary grade (per the pay scale</w:t>
            </w:r>
            <w:r w:rsidR="002476F6">
              <w:rPr>
                <w:sz w:val="20"/>
              </w:rPr>
              <w:t xml:space="preserve"> for these units</w:t>
            </w:r>
            <w:r w:rsidR="00A139C2">
              <w:rPr>
                <w:sz w:val="20"/>
              </w:rPr>
              <w:t xml:space="preserve"> effective April 2014), or the actual starting salary in non-equated </w:t>
            </w:r>
            <w:r w:rsidR="00E532B6">
              <w:rPr>
                <w:sz w:val="20"/>
              </w:rPr>
              <w:t>Trainee</w:t>
            </w:r>
            <w:r w:rsidR="00A139C2">
              <w:rPr>
                <w:sz w:val="20"/>
              </w:rPr>
              <w:t>ships</w:t>
            </w:r>
            <w:r w:rsidR="00A139C2" w:rsidRPr="00681F02">
              <w:rPr>
                <w:sz w:val="20"/>
              </w:rPr>
              <w:t>.</w:t>
            </w:r>
            <w:r w:rsidR="002476F6">
              <w:rPr>
                <w:sz w:val="20"/>
              </w:rPr>
              <w:t xml:space="preserve"> </w:t>
            </w:r>
          </w:p>
          <w:p w:rsidR="002476F6" w:rsidRPr="00C678B6" w:rsidRDefault="002476F6" w:rsidP="002476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669C8" w:rsidRDefault="00E669C8" w:rsidP="00EF540A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amount </w:t>
            </w:r>
            <w:r w:rsidRPr="00C678B6">
              <w:rPr>
                <w:sz w:val="20"/>
                <w:u w:val="single"/>
              </w:rPr>
              <w:t>does not include</w:t>
            </w:r>
            <w:r w:rsidRPr="00C678B6">
              <w:rPr>
                <w:sz w:val="20"/>
              </w:rPr>
              <w:t xml:space="preserve"> any extra dollar amounts listed </w:t>
            </w:r>
            <w:r w:rsidR="00414089" w:rsidRPr="00C678B6">
              <w:rPr>
                <w:sz w:val="20"/>
              </w:rPr>
              <w:t>in the E</w:t>
            </w:r>
            <w:r w:rsidR="00F34BA0" w:rsidRPr="00C678B6">
              <w:rPr>
                <w:sz w:val="20"/>
              </w:rPr>
              <w:t xml:space="preserve">quated </w:t>
            </w:r>
            <w:r w:rsidR="00414089" w:rsidRPr="00C678B6">
              <w:rPr>
                <w:sz w:val="20"/>
              </w:rPr>
              <w:t>S</w:t>
            </w:r>
            <w:r w:rsidRPr="00C678B6">
              <w:rPr>
                <w:sz w:val="20"/>
              </w:rPr>
              <w:t>alary</w:t>
            </w:r>
            <w:r w:rsidR="00414089" w:rsidRPr="00C678B6">
              <w:rPr>
                <w:sz w:val="20"/>
              </w:rPr>
              <w:t xml:space="preserve"> G</w:t>
            </w:r>
            <w:r w:rsidR="0054779C" w:rsidRPr="00C678B6">
              <w:rPr>
                <w:sz w:val="20"/>
              </w:rPr>
              <w:t>rade</w:t>
            </w:r>
            <w:r w:rsidRPr="00C678B6">
              <w:rPr>
                <w:sz w:val="20"/>
              </w:rPr>
              <w:t xml:space="preserve"> column</w:t>
            </w:r>
            <w:r w:rsidR="00B812CE">
              <w:rPr>
                <w:sz w:val="20"/>
              </w:rPr>
              <w:t>, whether based on contract or on recruitment difficulties in a given County</w:t>
            </w:r>
            <w:r w:rsidRPr="00C678B6">
              <w:rPr>
                <w:sz w:val="20"/>
              </w:rPr>
              <w:t>.</w:t>
            </w:r>
          </w:p>
          <w:p w:rsidR="00EF540A" w:rsidRPr="00C678B6" w:rsidRDefault="00EF540A" w:rsidP="00EF540A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>Service Payment</w:t>
            </w:r>
          </w:p>
        </w:tc>
        <w:tc>
          <w:tcPr>
            <w:tcW w:w="7650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sz w:val="20"/>
              </w:rPr>
              <w:t>This number represents the performance advance</w:t>
            </w:r>
            <w:r w:rsidR="002A0A56" w:rsidRPr="00C678B6">
              <w:rPr>
                <w:sz w:val="20"/>
              </w:rPr>
              <w:t>ment</w:t>
            </w:r>
            <w:r w:rsidRPr="00C678B6">
              <w:rPr>
                <w:sz w:val="20"/>
              </w:rPr>
              <w:t xml:space="preserve"> increment value associated with </w:t>
            </w:r>
            <w:r w:rsidR="002A0A56" w:rsidRPr="00C678B6">
              <w:rPr>
                <w:sz w:val="20"/>
              </w:rPr>
              <w:t xml:space="preserve">the equated </w:t>
            </w:r>
            <w:r w:rsidRPr="00C678B6">
              <w:rPr>
                <w:sz w:val="20"/>
              </w:rPr>
              <w:t>salary grade of a title</w:t>
            </w:r>
            <w:r w:rsidR="002A0A56" w:rsidRPr="00C678B6">
              <w:rPr>
                <w:sz w:val="20"/>
              </w:rPr>
              <w:t xml:space="preserve"> (</w:t>
            </w:r>
            <w:r w:rsidR="00DC22B5">
              <w:rPr>
                <w:sz w:val="20"/>
              </w:rPr>
              <w:t>please take appropriate note of the relevant footnotes and qualifiers</w:t>
            </w:r>
            <w:r w:rsidR="00DC155A">
              <w:rPr>
                <w:sz w:val="20"/>
              </w:rPr>
              <w:t>, however</w:t>
            </w:r>
            <w:r w:rsidR="002A0A56" w:rsidRPr="00C678B6">
              <w:rPr>
                <w:sz w:val="20"/>
              </w:rPr>
              <w:t>)</w:t>
            </w:r>
            <w:r w:rsidRPr="00C678B6">
              <w:rPr>
                <w:sz w:val="20"/>
              </w:rPr>
              <w:t xml:space="preserve">.  </w:t>
            </w:r>
            <w:r w:rsidR="002F33B5" w:rsidRPr="00C678B6">
              <w:rPr>
                <w:sz w:val="20"/>
              </w:rPr>
              <w:t xml:space="preserve">State employees who </w:t>
            </w:r>
            <w:r w:rsidR="0089261F" w:rsidRPr="00C678B6">
              <w:rPr>
                <w:sz w:val="20"/>
                <w:u w:val="single"/>
              </w:rPr>
              <w:t>successfully</w:t>
            </w:r>
            <w:r w:rsidR="0089261F" w:rsidRPr="00C678B6">
              <w:rPr>
                <w:sz w:val="20"/>
              </w:rPr>
              <w:t xml:space="preserve"> </w:t>
            </w:r>
            <w:r w:rsidR="00E97012" w:rsidRPr="00C678B6">
              <w:rPr>
                <w:sz w:val="20"/>
              </w:rPr>
              <w:t>have</w:t>
            </w:r>
            <w:r w:rsidR="00721DFA">
              <w:rPr>
                <w:sz w:val="20"/>
              </w:rPr>
              <w:t xml:space="preserve"> </w:t>
            </w:r>
            <w:r w:rsidR="002F33B5" w:rsidRPr="00C678B6">
              <w:rPr>
                <w:sz w:val="20"/>
              </w:rPr>
              <w:t xml:space="preserve">completed fifty-two (52) weeks in a </w:t>
            </w:r>
            <w:r w:rsidR="00E532B6">
              <w:rPr>
                <w:sz w:val="20"/>
              </w:rPr>
              <w:t>Trainee</w:t>
            </w:r>
            <w:r w:rsidR="002F33B5" w:rsidRPr="00C678B6">
              <w:rPr>
                <w:sz w:val="20"/>
              </w:rPr>
              <w:t xml:space="preserve"> level are eligible for a Service Payment</w:t>
            </w:r>
            <w:r w:rsidR="00E64279" w:rsidRPr="00C678B6">
              <w:rPr>
                <w:sz w:val="20"/>
              </w:rPr>
              <w:t xml:space="preserve"> (exceptions apply and they will be appropriately noted)</w:t>
            </w:r>
            <w:r w:rsidRPr="00C678B6">
              <w:rPr>
                <w:sz w:val="20"/>
              </w:rPr>
              <w:t xml:space="preserve">.  The addition of a Service Payment </w:t>
            </w:r>
            <w:r w:rsidRPr="00C678B6">
              <w:rPr>
                <w:sz w:val="20"/>
                <w:u w:val="single"/>
              </w:rPr>
              <w:t>cannot</w:t>
            </w:r>
            <w:r w:rsidRPr="00C678B6">
              <w:rPr>
                <w:sz w:val="20"/>
              </w:rPr>
              <w:t xml:space="preserve"> allow any emp</w:t>
            </w:r>
            <w:r w:rsidR="00F34BA0" w:rsidRPr="00C678B6">
              <w:rPr>
                <w:sz w:val="20"/>
              </w:rPr>
              <w:t xml:space="preserve">loyee’s salary to exceed the </w:t>
            </w:r>
            <w:r w:rsidR="0032227F" w:rsidRPr="00C678B6">
              <w:rPr>
                <w:sz w:val="20"/>
              </w:rPr>
              <w:t>“</w:t>
            </w:r>
            <w:r w:rsidR="00F34BA0" w:rsidRPr="00C678B6">
              <w:rPr>
                <w:sz w:val="20"/>
              </w:rPr>
              <w:t>Not To Exceed</w:t>
            </w:r>
            <w:r w:rsidRPr="00C678B6">
              <w:rPr>
                <w:sz w:val="20"/>
              </w:rPr>
              <w:t xml:space="preserve"> Amount</w:t>
            </w:r>
            <w:r w:rsidR="0032227F" w:rsidRPr="00C678B6">
              <w:rPr>
                <w:sz w:val="20"/>
              </w:rPr>
              <w:t>”</w:t>
            </w:r>
            <w:r w:rsidRPr="00C678B6">
              <w:rPr>
                <w:sz w:val="20"/>
              </w:rPr>
              <w:t xml:space="preserve">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</w:t>
            </w:r>
            <w:r w:rsidR="000D6D6C">
              <w:rPr>
                <w:sz w:val="20"/>
              </w:rPr>
              <w:t>, under most conditions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>Not To Exceed Amount</w:t>
            </w:r>
          </w:p>
        </w:tc>
        <w:tc>
          <w:tcPr>
            <w:tcW w:w="7650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number represents the Job Rate </w:t>
            </w:r>
            <w:r w:rsidR="00722094">
              <w:rPr>
                <w:sz w:val="20"/>
              </w:rPr>
              <w:t xml:space="preserve">of the Salary Grade to which a </w:t>
            </w:r>
            <w:r w:rsidR="00E532B6">
              <w:rPr>
                <w:sz w:val="20"/>
              </w:rPr>
              <w:t>Trainee</w:t>
            </w:r>
            <w:r w:rsidR="00722094">
              <w:rPr>
                <w:sz w:val="20"/>
              </w:rPr>
              <w:t xml:space="preserve">ship has been equated.  </w:t>
            </w:r>
            <w:r w:rsidR="00E307AC" w:rsidRPr="00C678B6">
              <w:rPr>
                <w:sz w:val="20"/>
              </w:rPr>
              <w:t xml:space="preserve">Due to </w:t>
            </w:r>
            <w:r w:rsidR="00414089" w:rsidRPr="00C678B6">
              <w:rPr>
                <w:sz w:val="20"/>
              </w:rPr>
              <w:t>prior graded</w:t>
            </w:r>
            <w:r w:rsidR="00E307AC" w:rsidRPr="00C678B6">
              <w:rPr>
                <w:sz w:val="20"/>
              </w:rPr>
              <w:t xml:space="preserve"> State service, certain State employees can enter a </w:t>
            </w:r>
            <w:r w:rsidR="00E532B6">
              <w:rPr>
                <w:sz w:val="20"/>
              </w:rPr>
              <w:t>Trainee</w:t>
            </w:r>
            <w:r w:rsidR="00E307AC" w:rsidRPr="00C678B6">
              <w:rPr>
                <w:sz w:val="20"/>
              </w:rPr>
              <w:t>ship above this rate a</w:t>
            </w:r>
            <w:r w:rsidR="00B27B30" w:rsidRPr="00C678B6">
              <w:rPr>
                <w:sz w:val="20"/>
              </w:rPr>
              <w:t xml:space="preserve">nd </w:t>
            </w:r>
            <w:r w:rsidR="00E307AC" w:rsidRPr="00C678B6">
              <w:rPr>
                <w:sz w:val="20"/>
              </w:rPr>
              <w:t>progress beyond this rate</w:t>
            </w:r>
            <w:r w:rsidR="00B27B30" w:rsidRPr="00C678B6">
              <w:rPr>
                <w:sz w:val="20"/>
              </w:rPr>
              <w:t xml:space="preserve"> as a result of an “Increase Upon Completion” payment.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A4085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Full </w:t>
            </w:r>
            <w:r w:rsidR="00E669C8" w:rsidRPr="00C678B6">
              <w:rPr>
                <w:b/>
                <w:sz w:val="20"/>
              </w:rPr>
              <w:t>Performance Level Title</w:t>
            </w:r>
          </w:p>
        </w:tc>
        <w:tc>
          <w:tcPr>
            <w:tcW w:w="7650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</w:t>
            </w:r>
            <w:r w:rsidR="001E47E5">
              <w:rPr>
                <w:sz w:val="20"/>
              </w:rPr>
              <w:t>column shows</w:t>
            </w:r>
            <w:r w:rsidR="00414089" w:rsidRPr="00C678B6">
              <w:rPr>
                <w:sz w:val="20"/>
              </w:rPr>
              <w:t xml:space="preserve"> the “</w:t>
            </w:r>
            <w:r w:rsidR="009305E2" w:rsidRPr="00C678B6">
              <w:rPr>
                <w:sz w:val="20"/>
              </w:rPr>
              <w:t>grad</w:t>
            </w:r>
            <w:r w:rsidR="00414089" w:rsidRPr="00C678B6">
              <w:rPr>
                <w:sz w:val="20"/>
              </w:rPr>
              <w:t>ed</w:t>
            </w:r>
            <w:r w:rsidRPr="00C678B6">
              <w:rPr>
                <w:sz w:val="20"/>
              </w:rPr>
              <w:t xml:space="preserve">” title </w:t>
            </w:r>
            <w:r w:rsidR="009A0931" w:rsidRPr="00C678B6">
              <w:rPr>
                <w:sz w:val="20"/>
              </w:rPr>
              <w:t>to</w:t>
            </w:r>
            <w:r w:rsidRPr="00C678B6">
              <w:rPr>
                <w:sz w:val="20"/>
              </w:rPr>
              <w:t xml:space="preserve"> wh</w:t>
            </w:r>
            <w:r w:rsidR="009A0931" w:rsidRPr="00C678B6">
              <w:rPr>
                <w:sz w:val="20"/>
              </w:rPr>
              <w:t xml:space="preserve">ich all State employees move </w:t>
            </w:r>
            <w:r w:rsidRPr="00C678B6">
              <w:rPr>
                <w:sz w:val="20"/>
              </w:rPr>
              <w:t xml:space="preserve">upon </w:t>
            </w:r>
            <w:r w:rsidR="005B6C17" w:rsidRPr="00C678B6">
              <w:rPr>
                <w:sz w:val="20"/>
                <w:u w:val="single"/>
              </w:rPr>
              <w:t>successful</w:t>
            </w:r>
            <w:r w:rsidR="005B6C17" w:rsidRPr="00C678B6">
              <w:rPr>
                <w:sz w:val="20"/>
              </w:rPr>
              <w:t xml:space="preserve"> </w:t>
            </w:r>
            <w:r w:rsidRPr="00C678B6">
              <w:rPr>
                <w:sz w:val="20"/>
              </w:rPr>
              <w:t xml:space="preserve">completion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>ship.</w:t>
            </w:r>
            <w:r w:rsidR="00174BDC">
              <w:rPr>
                <w:sz w:val="20"/>
              </w:rPr>
              <w:t xml:space="preserve">  (Sometimes also known as the “Target Title.”)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>Grade</w:t>
            </w:r>
          </w:p>
        </w:tc>
        <w:tc>
          <w:tcPr>
            <w:tcW w:w="7650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is the </w:t>
            </w:r>
            <w:r w:rsidR="002F342E" w:rsidRPr="00C678B6">
              <w:rPr>
                <w:sz w:val="20"/>
              </w:rPr>
              <w:t>salary grade</w:t>
            </w:r>
            <w:r w:rsidR="00722094">
              <w:rPr>
                <w:sz w:val="20"/>
              </w:rPr>
              <w:t xml:space="preserve"> of the</w:t>
            </w:r>
            <w:r w:rsidR="002F342E" w:rsidRPr="00C678B6">
              <w:rPr>
                <w:sz w:val="20"/>
              </w:rPr>
              <w:t xml:space="preserve"> </w:t>
            </w:r>
            <w:r w:rsidR="00722094" w:rsidRPr="00C678B6">
              <w:rPr>
                <w:sz w:val="20"/>
              </w:rPr>
              <w:t xml:space="preserve">title to which all State employees move upon </w:t>
            </w:r>
            <w:r w:rsidR="00722094" w:rsidRPr="00C678B6">
              <w:rPr>
                <w:sz w:val="20"/>
                <w:u w:val="single"/>
              </w:rPr>
              <w:t>successful</w:t>
            </w:r>
            <w:r w:rsidR="00722094" w:rsidRPr="00C678B6">
              <w:rPr>
                <w:sz w:val="20"/>
              </w:rPr>
              <w:t xml:space="preserve"> </w:t>
            </w:r>
            <w:r w:rsidR="00722094">
              <w:rPr>
                <w:sz w:val="20"/>
              </w:rPr>
              <w:t xml:space="preserve">completion of a </w:t>
            </w:r>
            <w:r w:rsidR="00E532B6">
              <w:rPr>
                <w:sz w:val="20"/>
              </w:rPr>
              <w:t>Trainee</w:t>
            </w:r>
            <w:r w:rsidR="00722094">
              <w:rPr>
                <w:sz w:val="20"/>
              </w:rPr>
              <w:t>ship</w:t>
            </w:r>
            <w:r w:rsidR="005D5622">
              <w:rPr>
                <w:sz w:val="20"/>
              </w:rPr>
              <w:t xml:space="preserve"> (the salary grade of the </w:t>
            </w:r>
            <w:r w:rsidR="0079462B">
              <w:rPr>
                <w:sz w:val="20"/>
              </w:rPr>
              <w:t>Target title</w:t>
            </w:r>
            <w:r w:rsidR="00AF041F">
              <w:rPr>
                <w:sz w:val="20"/>
              </w:rPr>
              <w:t xml:space="preserve"> or full performance level title</w:t>
            </w:r>
            <w:r w:rsidR="005D5622">
              <w:rPr>
                <w:sz w:val="20"/>
              </w:rPr>
              <w:t>)</w:t>
            </w:r>
            <w:r w:rsidR="00722094">
              <w:rPr>
                <w:sz w:val="20"/>
              </w:rPr>
              <w:t>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>Increase Upon Completion</w:t>
            </w:r>
          </w:p>
        </w:tc>
        <w:tc>
          <w:tcPr>
            <w:tcW w:w="7650" w:type="dxa"/>
          </w:tcPr>
          <w:p w:rsidR="00CA53FA" w:rsidRDefault="00A02589" w:rsidP="00057A8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number represents the performance advancement increment value associated with the salary grade of the </w:t>
            </w:r>
            <w:r w:rsidR="004809C4">
              <w:rPr>
                <w:sz w:val="20"/>
              </w:rPr>
              <w:t>Target</w:t>
            </w:r>
            <w:r w:rsidRPr="00C678B6">
              <w:rPr>
                <w:sz w:val="20"/>
              </w:rPr>
              <w:t xml:space="preserve"> </w:t>
            </w:r>
            <w:r w:rsidR="004809C4">
              <w:rPr>
                <w:sz w:val="20"/>
              </w:rPr>
              <w:t>T</w:t>
            </w:r>
            <w:r w:rsidRPr="00C678B6">
              <w:rPr>
                <w:sz w:val="20"/>
              </w:rPr>
              <w:t>itle</w:t>
            </w:r>
            <w:bookmarkStart w:id="0" w:name="_GoBack"/>
            <w:bookmarkEnd w:id="0"/>
            <w:r w:rsidRPr="00C678B6">
              <w:rPr>
                <w:sz w:val="20"/>
              </w:rPr>
              <w:t xml:space="preserve"> (unless otherwise noted).  This type of compensation </w:t>
            </w:r>
            <w:r w:rsidRPr="000C7789">
              <w:rPr>
                <w:sz w:val="20"/>
              </w:rPr>
              <w:t xml:space="preserve">only </w:t>
            </w:r>
            <w:r w:rsidR="000C7789">
              <w:rPr>
                <w:sz w:val="20"/>
              </w:rPr>
              <w:t xml:space="preserve">is </w:t>
            </w:r>
            <w:r w:rsidRPr="000C7789">
              <w:rPr>
                <w:sz w:val="20"/>
              </w:rPr>
              <w:t>available</w:t>
            </w:r>
            <w:r w:rsidRPr="00C678B6">
              <w:rPr>
                <w:sz w:val="20"/>
              </w:rPr>
              <w:t xml:space="preserve"> to State employees who </w:t>
            </w:r>
            <w:r w:rsidRPr="00C678B6">
              <w:rPr>
                <w:sz w:val="20"/>
                <w:u w:val="single"/>
              </w:rPr>
              <w:t>successfully</w:t>
            </w:r>
            <w:r w:rsidRPr="00C678B6">
              <w:rPr>
                <w:sz w:val="20"/>
              </w:rPr>
              <w:t xml:space="preserve"> </w:t>
            </w:r>
            <w:r w:rsidR="00F5012E" w:rsidRPr="00C678B6">
              <w:rPr>
                <w:sz w:val="20"/>
              </w:rPr>
              <w:t xml:space="preserve">have </w:t>
            </w:r>
            <w:r w:rsidRPr="00C678B6">
              <w:rPr>
                <w:sz w:val="20"/>
              </w:rPr>
              <w:lastRenderedPageBreak/>
              <w:t xml:space="preserve">completed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that entered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with prior graded State service, and have </w:t>
            </w:r>
            <w:r w:rsidR="008F0063" w:rsidRPr="00C678B6">
              <w:rPr>
                <w:sz w:val="20"/>
              </w:rPr>
              <w:t>advanced to</w:t>
            </w:r>
            <w:r w:rsidRPr="00C678B6">
              <w:rPr>
                <w:sz w:val="20"/>
              </w:rPr>
              <w:t xml:space="preserve"> a higher graded position via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ship. This amount is added on top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’s </w:t>
            </w:r>
            <w:r w:rsidR="008F0063" w:rsidRPr="00C678B6">
              <w:rPr>
                <w:sz w:val="20"/>
              </w:rPr>
              <w:t>attained</w:t>
            </w:r>
            <w:r w:rsidRPr="00C678B6">
              <w:rPr>
                <w:sz w:val="20"/>
              </w:rPr>
              <w:t xml:space="preserve"> salary upon </w:t>
            </w:r>
            <w:r w:rsidRPr="00C678B6">
              <w:rPr>
                <w:sz w:val="20"/>
                <w:u w:val="single"/>
              </w:rPr>
              <w:t>successful</w:t>
            </w:r>
            <w:r w:rsidRPr="00C678B6">
              <w:rPr>
                <w:sz w:val="20"/>
              </w:rPr>
              <w:t xml:space="preserve"> completion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ship.  The addition of an "Increase Upon Completion" </w:t>
            </w:r>
            <w:r w:rsidRPr="00C678B6">
              <w:rPr>
                <w:sz w:val="20"/>
                <w:u w:val="single"/>
              </w:rPr>
              <w:t>is not</w:t>
            </w:r>
            <w:r w:rsidRPr="00C678B6">
              <w:rPr>
                <w:sz w:val="20"/>
              </w:rPr>
              <w:t xml:space="preserve"> subject to the listed "Not To Exceed Amount."</w:t>
            </w:r>
          </w:p>
          <w:p w:rsidR="00930B63" w:rsidRPr="00C678B6" w:rsidRDefault="00930B63" w:rsidP="00057A85">
            <w:pPr>
              <w:rPr>
                <w:sz w:val="20"/>
              </w:rPr>
            </w:pPr>
          </w:p>
        </w:tc>
      </w:tr>
    </w:tbl>
    <w:p w:rsidR="00B6386D" w:rsidRDefault="00B6386D" w:rsidP="00B6386D">
      <w:pPr>
        <w:jc w:val="center"/>
        <w:rPr>
          <w:b/>
          <w:sz w:val="28"/>
          <w:szCs w:val="28"/>
        </w:rPr>
      </w:pPr>
      <w:r>
        <w:rPr>
          <w:szCs w:val="24"/>
        </w:rPr>
        <w:lastRenderedPageBreak/>
        <w:br w:type="page"/>
      </w:r>
      <w:r w:rsidRPr="00170F7A">
        <w:rPr>
          <w:b/>
          <w:sz w:val="28"/>
          <w:szCs w:val="28"/>
        </w:rPr>
        <w:lastRenderedPageBreak/>
        <w:t xml:space="preserve">ATTACHMENT </w:t>
      </w:r>
      <w:r w:rsidR="00CB0811">
        <w:rPr>
          <w:b/>
          <w:sz w:val="28"/>
          <w:szCs w:val="28"/>
        </w:rPr>
        <w:t xml:space="preserve">B – </w:t>
      </w:r>
      <w:r w:rsidR="001D3B45">
        <w:rPr>
          <w:b/>
          <w:sz w:val="28"/>
          <w:szCs w:val="28"/>
        </w:rPr>
        <w:t>SPREADSH</w:t>
      </w:r>
      <w:r w:rsidR="006774B5">
        <w:rPr>
          <w:b/>
          <w:sz w:val="28"/>
          <w:szCs w:val="28"/>
        </w:rPr>
        <w:t>EET FOOTNOTE DESCRIPTIONS</w:t>
      </w:r>
    </w:p>
    <w:p w:rsidR="00E669C8" w:rsidRPr="00B6386D" w:rsidRDefault="00E669C8">
      <w:pPr>
        <w:rPr>
          <w:szCs w:val="24"/>
        </w:rPr>
      </w:pPr>
    </w:p>
    <w:p w:rsidR="003E79CF" w:rsidRPr="00B6386D" w:rsidRDefault="003E79CF" w:rsidP="003E79CF">
      <w:pPr>
        <w:tabs>
          <w:tab w:val="left" w:pos="36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Footnote </w:t>
      </w:r>
      <w:r w:rsidRPr="00B6386D">
        <w:rPr>
          <w:b/>
          <w:szCs w:val="24"/>
          <w:u w:val="single"/>
        </w:rPr>
        <w:t>Descriptions</w:t>
      </w:r>
    </w:p>
    <w:p w:rsidR="00B65CCB" w:rsidRDefault="00B65CCB" w:rsidP="003E79CF">
      <w:pPr>
        <w:jc w:val="both"/>
        <w:rPr>
          <w:szCs w:val="24"/>
        </w:rPr>
      </w:pPr>
    </w:p>
    <w:p w:rsidR="003E79CF" w:rsidRDefault="003E79CF" w:rsidP="003E79CF">
      <w:pPr>
        <w:jc w:val="both"/>
        <w:rPr>
          <w:szCs w:val="24"/>
        </w:rPr>
      </w:pPr>
      <w:r>
        <w:rPr>
          <w:szCs w:val="24"/>
        </w:rPr>
        <w:t>(Note that some of these descriptions also are contained within the spreadsheet itself, but not all are.  Please consult both this memorandum and the footnotes contained within the spreadsheet itself.)</w:t>
      </w:r>
    </w:p>
    <w:p w:rsidR="00E669C8" w:rsidRDefault="00E669C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70"/>
      </w:tblGrid>
      <w:tr w:rsidR="00480878" w:rsidRPr="00C678B6" w:rsidTr="00C678B6">
        <w:tc>
          <w:tcPr>
            <w:tcW w:w="1188" w:type="dxa"/>
            <w:shd w:val="clear" w:color="auto" w:fill="B3B3B3"/>
          </w:tcPr>
          <w:p w:rsidR="00480878" w:rsidRPr="00C678B6" w:rsidRDefault="00480878" w:rsidP="00480878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Footnote </w:t>
            </w:r>
          </w:p>
        </w:tc>
        <w:tc>
          <w:tcPr>
            <w:tcW w:w="8370" w:type="dxa"/>
            <w:shd w:val="clear" w:color="auto" w:fill="B3B3B3"/>
          </w:tcPr>
          <w:p w:rsidR="00480878" w:rsidRPr="00C678B6" w:rsidRDefault="00480878" w:rsidP="00C678B6">
            <w:pPr>
              <w:jc w:val="both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B0DB7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*</w:t>
            </w:r>
          </w:p>
        </w:tc>
        <w:tc>
          <w:tcPr>
            <w:tcW w:w="8370" w:type="dxa"/>
          </w:tcPr>
          <w:p w:rsidR="00480878" w:rsidRPr="00C678B6" w:rsidRDefault="00EB6805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Signifies </w:t>
            </w:r>
            <w:r w:rsidR="00C03B82" w:rsidRPr="00C678B6">
              <w:rPr>
                <w:sz w:val="20"/>
              </w:rPr>
              <w:t xml:space="preserve">that the </w:t>
            </w:r>
            <w:r w:rsidR="00C736C2">
              <w:rPr>
                <w:sz w:val="20"/>
              </w:rPr>
              <w:t xml:space="preserve">structure of the </w:t>
            </w:r>
            <w:r w:rsidR="00C03B82" w:rsidRPr="00C678B6">
              <w:rPr>
                <w:sz w:val="20"/>
              </w:rPr>
              <w:t xml:space="preserve">length of this </w:t>
            </w:r>
            <w:r w:rsidR="00E532B6">
              <w:rPr>
                <w:sz w:val="20"/>
              </w:rPr>
              <w:t>Trainee</w:t>
            </w:r>
            <w:r w:rsidR="00C03B82" w:rsidRPr="00C678B6">
              <w:rPr>
                <w:sz w:val="20"/>
              </w:rPr>
              <w:t>ship is different</w:t>
            </w:r>
            <w:r w:rsidR="00494D68" w:rsidRPr="00C678B6">
              <w:rPr>
                <w:sz w:val="20"/>
              </w:rPr>
              <w:t xml:space="preserve"> than the normal </w:t>
            </w:r>
            <w:r w:rsidR="007C0AC9" w:rsidRPr="00C678B6">
              <w:rPr>
                <w:sz w:val="20"/>
              </w:rPr>
              <w:t>fifty-two (52</w:t>
            </w:r>
            <w:r w:rsidR="004A6CC8" w:rsidRPr="00C678B6">
              <w:rPr>
                <w:sz w:val="20"/>
              </w:rPr>
              <w:t>)</w:t>
            </w:r>
            <w:r w:rsidR="007C0AC9" w:rsidRPr="00C678B6">
              <w:rPr>
                <w:sz w:val="20"/>
              </w:rPr>
              <w:t xml:space="preserve"> week</w:t>
            </w:r>
            <w:r w:rsidR="004A6CC8" w:rsidRPr="00C678B6">
              <w:rPr>
                <w:sz w:val="20"/>
              </w:rPr>
              <w:t>,</w:t>
            </w:r>
            <w:r w:rsidR="00494D68" w:rsidRPr="00C678B6">
              <w:rPr>
                <w:sz w:val="20"/>
              </w:rPr>
              <w:t xml:space="preserve"> </w:t>
            </w:r>
            <w:r w:rsidR="007C0AC9" w:rsidRPr="00C678B6">
              <w:rPr>
                <w:sz w:val="20"/>
              </w:rPr>
              <w:t>one hundred and four</w:t>
            </w:r>
            <w:r w:rsidR="00494D68" w:rsidRPr="00C678B6">
              <w:rPr>
                <w:sz w:val="20"/>
              </w:rPr>
              <w:t xml:space="preserve"> </w:t>
            </w:r>
            <w:r w:rsidR="007C0AC9" w:rsidRPr="00C678B6">
              <w:rPr>
                <w:sz w:val="20"/>
              </w:rPr>
              <w:t>(104</w:t>
            </w:r>
            <w:r w:rsidR="004A6CC8" w:rsidRPr="00C678B6">
              <w:rPr>
                <w:sz w:val="20"/>
              </w:rPr>
              <w:t>)</w:t>
            </w:r>
            <w:r w:rsidR="007C0AC9" w:rsidRPr="00C678B6">
              <w:rPr>
                <w:sz w:val="20"/>
              </w:rPr>
              <w:t xml:space="preserve"> week</w:t>
            </w:r>
            <w:r w:rsidR="004A6CC8" w:rsidRPr="00C678B6">
              <w:rPr>
                <w:sz w:val="20"/>
              </w:rPr>
              <w:t xml:space="preserve">, </w:t>
            </w:r>
            <w:r w:rsidR="00494D68" w:rsidRPr="00C678B6">
              <w:rPr>
                <w:sz w:val="20"/>
              </w:rPr>
              <w:t xml:space="preserve">and </w:t>
            </w:r>
            <w:r w:rsidR="00BE7A5D" w:rsidRPr="00C678B6">
              <w:rPr>
                <w:sz w:val="20"/>
              </w:rPr>
              <w:t>one hundred and fifty-six</w:t>
            </w:r>
            <w:r w:rsidR="007C0AC9" w:rsidRPr="00C678B6">
              <w:rPr>
                <w:sz w:val="20"/>
              </w:rPr>
              <w:t xml:space="preserve"> (15</w:t>
            </w:r>
            <w:r w:rsidR="00BE7A5D" w:rsidRPr="00C678B6">
              <w:rPr>
                <w:sz w:val="20"/>
              </w:rPr>
              <w:t>6</w:t>
            </w:r>
            <w:r w:rsidR="007C0AC9" w:rsidRPr="00C678B6">
              <w:rPr>
                <w:sz w:val="20"/>
              </w:rPr>
              <w:t>) week</w:t>
            </w:r>
            <w:r w:rsidR="00C736C2">
              <w:rPr>
                <w:sz w:val="20"/>
              </w:rPr>
              <w:t xml:space="preserve"> structures typically seen</w:t>
            </w:r>
            <w:r w:rsidR="00494D68" w:rsidRPr="00C678B6">
              <w:rPr>
                <w:sz w:val="20"/>
              </w:rPr>
              <w:t>.</w:t>
            </w:r>
            <w:r w:rsidR="0091304F">
              <w:rPr>
                <w:sz w:val="20"/>
              </w:rPr>
              <w:t xml:space="preserve">  The most-common alternative arrangement in the CSEA-represented units is a short-term Traineeship, lasting approximately twenty-six (26) weeks.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040FC7" w:rsidRPr="00C678B6" w:rsidTr="00C678B6">
        <w:tc>
          <w:tcPr>
            <w:tcW w:w="1188" w:type="dxa"/>
          </w:tcPr>
          <w:p w:rsidR="00040FC7" w:rsidRPr="00C678B6" w:rsidRDefault="00040FC7" w:rsidP="00480878">
            <w:pPr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8370" w:type="dxa"/>
          </w:tcPr>
          <w:p w:rsidR="00040FC7" w:rsidRDefault="00040FC7" w:rsidP="00480878">
            <w:pPr>
              <w:rPr>
                <w:sz w:val="20"/>
              </w:rPr>
            </w:pPr>
            <w:r>
              <w:rPr>
                <w:sz w:val="20"/>
              </w:rPr>
              <w:t>Signifies that a given Traineeship’s equated rates are subject to a difference within certain Counties, to address recruitment difficulties, as described above and as noted on the Excel spreadsheet.</w:t>
            </w:r>
          </w:p>
          <w:p w:rsidR="00040FC7" w:rsidRPr="00C678B6" w:rsidRDefault="00040FC7" w:rsidP="00480878">
            <w:pPr>
              <w:rPr>
                <w:sz w:val="20"/>
              </w:rPr>
            </w:pP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B0DB7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1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Signifies that upon satisfactory rating,</w:t>
            </w:r>
            <w:r w:rsidR="007F0528" w:rsidRPr="00C678B6">
              <w:rPr>
                <w:sz w:val="20"/>
              </w:rPr>
              <w:t xml:space="preserve"> a</w:t>
            </w:r>
            <w:r w:rsidRPr="00C678B6">
              <w:rPr>
                <w:sz w:val="20"/>
              </w:rPr>
              <w:t xml:space="preserve"> </w:t>
            </w:r>
            <w:r w:rsidR="00397EC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397EC1" w:rsidRPr="00C678B6">
              <w:rPr>
                <w:sz w:val="20"/>
              </w:rPr>
              <w:t>”</w:t>
            </w:r>
            <w:r w:rsidR="007F0528" w:rsidRPr="00C678B6">
              <w:rPr>
                <w:sz w:val="20"/>
              </w:rPr>
              <w:t xml:space="preserve"> is</w:t>
            </w:r>
            <w:r w:rsidRPr="00C678B6">
              <w:rPr>
                <w:sz w:val="20"/>
              </w:rPr>
              <w:t xml:space="preserve"> paid a</w:t>
            </w:r>
            <w:r w:rsidR="00392071" w:rsidRPr="00C678B6">
              <w:rPr>
                <w:sz w:val="20"/>
              </w:rPr>
              <w:t>t</w:t>
            </w:r>
            <w:r w:rsidRPr="00C678B6">
              <w:rPr>
                <w:sz w:val="20"/>
              </w:rPr>
              <w:t xml:space="preserve"> </w:t>
            </w:r>
            <w:r w:rsidR="00524649" w:rsidRPr="00C678B6">
              <w:rPr>
                <w:sz w:val="20"/>
              </w:rPr>
              <w:t>twenty-six (26) week</w:t>
            </w:r>
            <w:r w:rsidRPr="00C678B6">
              <w:rPr>
                <w:sz w:val="20"/>
              </w:rPr>
              <w:t xml:space="preserve"> intervals.</w:t>
            </w:r>
            <w:r w:rsidR="007206F4">
              <w:rPr>
                <w:sz w:val="20"/>
              </w:rPr>
              <w:t xml:space="preserve">  (This footnote is not used in the current edition of the Excel spreadsheet but is maintained for continuity.)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B0DB7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2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Signifies that</w:t>
            </w:r>
            <w:r w:rsidR="007F0528" w:rsidRPr="00C678B6">
              <w:rPr>
                <w:sz w:val="20"/>
              </w:rPr>
              <w:t xml:space="preserve"> a</w:t>
            </w:r>
            <w:r w:rsidRPr="00C678B6">
              <w:rPr>
                <w:sz w:val="20"/>
              </w:rPr>
              <w:t xml:space="preserve"> </w:t>
            </w:r>
            <w:r w:rsidR="00397EC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397EC1" w:rsidRPr="00C678B6">
              <w:rPr>
                <w:sz w:val="20"/>
              </w:rPr>
              <w:t>”</w:t>
            </w:r>
            <w:r w:rsidR="007F0528" w:rsidRPr="00C678B6">
              <w:rPr>
                <w:sz w:val="20"/>
              </w:rPr>
              <w:t xml:space="preserve"> is</w:t>
            </w:r>
            <w:r w:rsidRPr="00C678B6">
              <w:rPr>
                <w:sz w:val="20"/>
              </w:rPr>
              <w:t xml:space="preserve"> only payable upon completion of a set number of competencies</w:t>
            </w:r>
            <w:r w:rsidR="00086837">
              <w:rPr>
                <w:sz w:val="20"/>
              </w:rPr>
              <w:t>, as indicated in the spreadsheet</w:t>
            </w:r>
            <w:r w:rsidRPr="00C678B6">
              <w:rPr>
                <w:sz w:val="20"/>
              </w:rPr>
              <w:t>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B0DB7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3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Signifies that </w:t>
            </w:r>
            <w:r w:rsidR="0029586B" w:rsidRPr="00C678B6">
              <w:rPr>
                <w:sz w:val="20"/>
              </w:rPr>
              <w:t xml:space="preserve">the </w:t>
            </w:r>
            <w:r w:rsidR="005C7C5C">
              <w:rPr>
                <w:sz w:val="20"/>
              </w:rPr>
              <w:t>marked and indicated</w:t>
            </w:r>
            <w:r w:rsidR="0029586B" w:rsidRPr="00C678B6">
              <w:rPr>
                <w:sz w:val="20"/>
              </w:rPr>
              <w:t xml:space="preserve"> amounts </w:t>
            </w:r>
            <w:r w:rsidRPr="00C678B6">
              <w:rPr>
                <w:sz w:val="20"/>
              </w:rPr>
              <w:t xml:space="preserve">are flat </w:t>
            </w:r>
            <w:r w:rsidR="0029586B" w:rsidRPr="00C678B6">
              <w:rPr>
                <w:sz w:val="20"/>
              </w:rPr>
              <w:t>rates</w:t>
            </w:r>
            <w:r w:rsidRPr="00C678B6">
              <w:rPr>
                <w:sz w:val="20"/>
              </w:rPr>
              <w:t xml:space="preserve"> that do not correspond to the performance advance</w:t>
            </w:r>
            <w:r w:rsidR="00392071" w:rsidRPr="00C678B6">
              <w:rPr>
                <w:sz w:val="20"/>
              </w:rPr>
              <w:t>ment</w:t>
            </w:r>
            <w:r w:rsidRPr="00C678B6">
              <w:rPr>
                <w:sz w:val="20"/>
              </w:rPr>
              <w:t xml:space="preserve"> increment value of the identified title</w:t>
            </w:r>
            <w:r w:rsidR="005A666A" w:rsidRPr="00C678B6">
              <w:rPr>
                <w:sz w:val="20"/>
              </w:rPr>
              <w:t>s</w:t>
            </w:r>
            <w:r w:rsidRPr="00C678B6">
              <w:rPr>
                <w:sz w:val="20"/>
              </w:rPr>
              <w:t xml:space="preserve">.  However, these rates are </w:t>
            </w:r>
            <w:r w:rsidR="0029586B" w:rsidRPr="00C678B6">
              <w:rPr>
                <w:sz w:val="20"/>
              </w:rPr>
              <w:t>inflated</w:t>
            </w:r>
            <w:r w:rsidR="0000622E">
              <w:rPr>
                <w:sz w:val="20"/>
              </w:rPr>
              <w:t xml:space="preserve"> by any general salary increase granted to the associated negotiation.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</w:tbl>
    <w:p w:rsidR="00E669C8" w:rsidRDefault="00E669C8" w:rsidP="00170F7A">
      <w:pPr>
        <w:jc w:val="center"/>
        <w:rPr>
          <w:b/>
          <w:sz w:val="28"/>
          <w:szCs w:val="28"/>
        </w:rPr>
      </w:pPr>
      <w:r>
        <w:br w:type="page"/>
      </w:r>
      <w:r w:rsidR="00CB0811">
        <w:rPr>
          <w:b/>
          <w:sz w:val="28"/>
          <w:szCs w:val="28"/>
        </w:rPr>
        <w:lastRenderedPageBreak/>
        <w:t>ATTACHMENT C</w:t>
      </w:r>
      <w:r w:rsidR="00170F7A">
        <w:rPr>
          <w:b/>
          <w:sz w:val="28"/>
          <w:szCs w:val="28"/>
        </w:rPr>
        <w:t xml:space="preserve"> –</w:t>
      </w:r>
      <w:r w:rsidR="002602BA">
        <w:rPr>
          <w:b/>
          <w:sz w:val="28"/>
          <w:szCs w:val="28"/>
        </w:rPr>
        <w:t xml:space="preserve"> SALARY RATE </w:t>
      </w:r>
      <w:r w:rsidR="00170F7A">
        <w:rPr>
          <w:b/>
          <w:sz w:val="28"/>
          <w:szCs w:val="28"/>
        </w:rPr>
        <w:t>PROGRESSION</w:t>
      </w:r>
      <w:r w:rsidR="00231278">
        <w:rPr>
          <w:b/>
          <w:sz w:val="28"/>
          <w:szCs w:val="28"/>
        </w:rPr>
        <w:t xml:space="preserve"> SCENARIOS</w:t>
      </w:r>
      <w:r w:rsidR="00277FD2">
        <w:rPr>
          <w:b/>
          <w:sz w:val="28"/>
          <w:szCs w:val="28"/>
        </w:rPr>
        <w:t xml:space="preserve"> *</w:t>
      </w:r>
    </w:p>
    <w:p w:rsidR="00CB0811" w:rsidRPr="0015231D" w:rsidRDefault="00CB0811" w:rsidP="00E669C8">
      <w:pPr>
        <w:jc w:val="both"/>
        <w:rPr>
          <w:sz w:val="16"/>
          <w:szCs w:val="16"/>
        </w:rPr>
      </w:pPr>
    </w:p>
    <w:p w:rsidR="00E669C8" w:rsidRPr="00A95166" w:rsidRDefault="00E669C8" w:rsidP="00FD78E6">
      <w:pPr>
        <w:tabs>
          <w:tab w:val="left" w:pos="720"/>
        </w:tabs>
        <w:jc w:val="both"/>
        <w:rPr>
          <w:b/>
        </w:rPr>
      </w:pPr>
      <w:r w:rsidRPr="00B64BEE">
        <w:rPr>
          <w:b/>
          <w:u w:val="single"/>
        </w:rPr>
        <w:t>A.</w:t>
      </w:r>
      <w:r w:rsidRPr="00B64BEE">
        <w:rPr>
          <w:b/>
          <w:u w:val="single"/>
        </w:rPr>
        <w:tab/>
      </w:r>
      <w:r w:rsidR="00E532B6">
        <w:rPr>
          <w:b/>
          <w:u w:val="single"/>
        </w:rPr>
        <w:t>Trainee</w:t>
      </w:r>
      <w:r w:rsidRPr="00B64BEE">
        <w:rPr>
          <w:b/>
          <w:u w:val="single"/>
        </w:rPr>
        <w:t>ships of One (1) Year or Less</w:t>
      </w:r>
      <w:r w:rsidR="00E67D6E">
        <w:rPr>
          <w:b/>
          <w:u w:val="single"/>
        </w:rPr>
        <w:t xml:space="preserve"> </w:t>
      </w:r>
    </w:p>
    <w:p w:rsidR="00E669C8" w:rsidRPr="0015231D" w:rsidRDefault="00E669C8" w:rsidP="00E669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8"/>
      </w:tblGrid>
      <w:tr w:rsidR="00E669C8" w:rsidTr="00C678B6">
        <w:tc>
          <w:tcPr>
            <w:tcW w:w="1548" w:type="dxa"/>
            <w:shd w:val="clear" w:color="auto" w:fill="B3B3B3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Scenario</w:t>
            </w:r>
          </w:p>
        </w:tc>
        <w:tc>
          <w:tcPr>
            <w:tcW w:w="8028" w:type="dxa"/>
            <w:shd w:val="clear" w:color="auto" w:fill="B3B3B3"/>
          </w:tcPr>
          <w:p w:rsidR="00E669C8" w:rsidRPr="00C678B6" w:rsidRDefault="00E669C8" w:rsidP="00F74C8A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No Prior </w:t>
            </w:r>
            <w:r w:rsidR="00EF66EB" w:rsidRPr="00C678B6">
              <w:rPr>
                <w:b/>
                <w:sz w:val="20"/>
              </w:rPr>
              <w:t xml:space="preserve">Graded </w:t>
            </w:r>
            <w:r w:rsidRPr="00C678B6">
              <w:rPr>
                <w:b/>
                <w:sz w:val="20"/>
              </w:rPr>
              <w:t>State Service</w:t>
            </w:r>
          </w:p>
        </w:tc>
        <w:tc>
          <w:tcPr>
            <w:tcW w:w="8028" w:type="dxa"/>
          </w:tcPr>
          <w:p w:rsidR="00E669C8" w:rsidRPr="00C678B6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="008C2260" w:rsidRPr="00C678B6">
              <w:rPr>
                <w:sz w:val="20"/>
              </w:rPr>
              <w:t xml:space="preserve"> – The Hir</w:t>
            </w:r>
            <w:r w:rsidR="00CE1ABD" w:rsidRPr="00C678B6">
              <w:rPr>
                <w:sz w:val="20"/>
              </w:rPr>
              <w:t>ing</w:t>
            </w:r>
            <w:r w:rsidR="008C2260" w:rsidRPr="00C678B6">
              <w:rPr>
                <w:sz w:val="20"/>
              </w:rPr>
              <w:t xml:space="preserve"> Rate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>ship.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 xml:space="preserve">Hiring </w:t>
            </w:r>
            <w:r w:rsidR="007E515B" w:rsidRPr="00C678B6">
              <w:rPr>
                <w:sz w:val="20"/>
              </w:rPr>
              <w:t xml:space="preserve">Rate of the </w:t>
            </w:r>
            <w:r w:rsidR="00C037A3">
              <w:rPr>
                <w:sz w:val="20"/>
              </w:rPr>
              <w:t>actual</w:t>
            </w:r>
            <w:r w:rsidR="007E515B" w:rsidRPr="00C678B6">
              <w:rPr>
                <w:sz w:val="20"/>
              </w:rPr>
              <w:t xml:space="preserve"> </w:t>
            </w:r>
            <w:r w:rsidRPr="00C678B6">
              <w:rPr>
                <w:sz w:val="20"/>
              </w:rPr>
              <w:t>title</w:t>
            </w:r>
            <w:r w:rsidR="0015231D" w:rsidRPr="00C678B6">
              <w:rPr>
                <w:sz w:val="20"/>
              </w:rPr>
              <w:t xml:space="preserve"> </w:t>
            </w:r>
            <w:r w:rsidR="0015231D" w:rsidRPr="00C678B6">
              <w:rPr>
                <w:b/>
                <w:sz w:val="20"/>
                <w:u w:val="single"/>
              </w:rPr>
              <w:t>OR</w:t>
            </w:r>
            <w:r w:rsidR="0015231D" w:rsidRPr="00C678B6">
              <w:rPr>
                <w:sz w:val="20"/>
              </w:rPr>
              <w:t xml:space="preserve"> current salary plus “Service Payment</w:t>
            </w:r>
            <w:r w:rsidRPr="00C678B6">
              <w:rPr>
                <w:sz w:val="20"/>
              </w:rPr>
              <w:t>.</w:t>
            </w:r>
            <w:r w:rsidR="0015231D" w:rsidRPr="00C678B6">
              <w:rPr>
                <w:sz w:val="20"/>
              </w:rPr>
              <w:t>”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Prior Graded </w:t>
            </w:r>
            <w:r w:rsidR="00EF66EB" w:rsidRPr="00C678B6">
              <w:rPr>
                <w:b/>
                <w:sz w:val="20"/>
              </w:rPr>
              <w:t xml:space="preserve">State </w:t>
            </w:r>
            <w:r w:rsidRPr="00C678B6">
              <w:rPr>
                <w:b/>
                <w:sz w:val="20"/>
              </w:rPr>
              <w:t>Service</w:t>
            </w:r>
          </w:p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</w:p>
        </w:tc>
        <w:tc>
          <w:tcPr>
            <w:tcW w:w="8028" w:type="dxa"/>
          </w:tcPr>
          <w:p w:rsidR="00E669C8" w:rsidRPr="00C678B6" w:rsidRDefault="00E669C8" w:rsidP="00F74C8A">
            <w:pPr>
              <w:jc w:val="both"/>
              <w:rPr>
                <w:b/>
                <w:sz w:val="20"/>
                <w:u w:val="single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Pr="00C678B6">
              <w:rPr>
                <w:sz w:val="20"/>
              </w:rPr>
              <w:t xml:space="preserve"> – The</w:t>
            </w:r>
            <w:r w:rsidR="008C2260" w:rsidRPr="00C678B6">
              <w:rPr>
                <w:sz w:val="20"/>
              </w:rPr>
              <w:t xml:space="preserve"> higher of the </w:t>
            </w:r>
            <w:r w:rsidR="00CE1ABD" w:rsidRPr="00C678B6">
              <w:rPr>
                <w:sz w:val="20"/>
              </w:rPr>
              <w:t xml:space="preserve">Hiring </w:t>
            </w:r>
            <w:r w:rsidR="008C2260" w:rsidRPr="00C678B6">
              <w:rPr>
                <w:sz w:val="20"/>
              </w:rPr>
              <w:t xml:space="preserve">Rate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</w:t>
            </w:r>
            <w:r w:rsidR="00134C9C" w:rsidRPr="00C678B6">
              <w:rPr>
                <w:b/>
                <w:sz w:val="20"/>
                <w:u w:val="single"/>
              </w:rPr>
              <w:t>OR</w:t>
            </w:r>
            <w:r w:rsidR="00134C9C" w:rsidRPr="00C678B6">
              <w:rPr>
                <w:sz w:val="20"/>
              </w:rPr>
              <w:t xml:space="preserve"> </w:t>
            </w:r>
            <w:r w:rsidR="00381763" w:rsidRPr="00C678B6">
              <w:rPr>
                <w:sz w:val="20"/>
              </w:rPr>
              <w:t>current graded</w:t>
            </w:r>
            <w:r w:rsidRPr="00C678B6">
              <w:rPr>
                <w:sz w:val="20"/>
              </w:rPr>
              <w:t xml:space="preserve"> salary.</w:t>
            </w:r>
            <w:r w:rsidR="0003286B" w:rsidRPr="00C678B6">
              <w:rPr>
                <w:sz w:val="20"/>
              </w:rPr>
              <w:t xml:space="preserve">  However, if an </w:t>
            </w:r>
            <w:r w:rsidR="009900C5" w:rsidRPr="00C678B6">
              <w:rPr>
                <w:sz w:val="20"/>
              </w:rPr>
              <w:t>employee</w:t>
            </w:r>
            <w:r w:rsidR="0003286B" w:rsidRPr="00C678B6">
              <w:rPr>
                <w:sz w:val="20"/>
              </w:rPr>
              <w:t>’s current grade</w:t>
            </w:r>
            <w:r w:rsidR="009900C5" w:rsidRPr="00C678B6">
              <w:rPr>
                <w:sz w:val="20"/>
              </w:rPr>
              <w:t>d position</w:t>
            </w:r>
            <w:r w:rsidR="0003286B" w:rsidRPr="00C678B6">
              <w:rPr>
                <w:sz w:val="20"/>
              </w:rPr>
              <w:t xml:space="preserve"> is </w:t>
            </w:r>
            <w:r w:rsidR="00EC353E" w:rsidRPr="00C678B6">
              <w:rPr>
                <w:sz w:val="20"/>
              </w:rPr>
              <w:t>higher</w:t>
            </w:r>
            <w:r w:rsidR="0003286B" w:rsidRPr="00C678B6">
              <w:rPr>
                <w:sz w:val="20"/>
              </w:rPr>
              <w:t xml:space="preserve"> than that which will be achieved at the end of </w:t>
            </w:r>
            <w:r w:rsidR="009900C5" w:rsidRPr="00C678B6">
              <w:rPr>
                <w:sz w:val="20"/>
              </w:rPr>
              <w:t>a</w:t>
            </w:r>
            <w:r w:rsidR="0003286B" w:rsidRPr="00C678B6">
              <w:rPr>
                <w:sz w:val="20"/>
              </w:rPr>
              <w:t xml:space="preserve"> </w:t>
            </w:r>
            <w:proofErr w:type="gramStart"/>
            <w:r w:rsidR="00E532B6">
              <w:rPr>
                <w:sz w:val="20"/>
              </w:rPr>
              <w:t>Trainee</w:t>
            </w:r>
            <w:r w:rsidR="0003286B" w:rsidRPr="00C678B6">
              <w:rPr>
                <w:sz w:val="20"/>
              </w:rPr>
              <w:t>ship,</w:t>
            </w:r>
            <w:proofErr w:type="gramEnd"/>
            <w:r w:rsidR="0003286B" w:rsidRPr="00C678B6">
              <w:rPr>
                <w:sz w:val="20"/>
              </w:rPr>
              <w:t xml:space="preserve"> the </w:t>
            </w:r>
            <w:r w:rsidR="009900C5" w:rsidRPr="00C678B6">
              <w:rPr>
                <w:sz w:val="20"/>
              </w:rPr>
              <w:t>employee’</w:t>
            </w:r>
            <w:r w:rsidR="0003286B" w:rsidRPr="00C678B6">
              <w:rPr>
                <w:sz w:val="20"/>
              </w:rPr>
              <w:t xml:space="preserve">s salary </w:t>
            </w:r>
            <w:r w:rsidR="008E610E">
              <w:rPr>
                <w:sz w:val="20"/>
              </w:rPr>
              <w:t>may</w:t>
            </w:r>
            <w:r w:rsidR="0003286B" w:rsidRPr="00C678B6">
              <w:rPr>
                <w:sz w:val="20"/>
              </w:rPr>
              <w:t xml:space="preserve"> be reconstructed based upon the grade level of the </w:t>
            </w:r>
            <w:r w:rsidR="009900C5" w:rsidRPr="00C678B6">
              <w:rPr>
                <w:sz w:val="20"/>
              </w:rPr>
              <w:t xml:space="preserve">targeted </w:t>
            </w:r>
            <w:r w:rsidR="0003286B" w:rsidRPr="00C678B6">
              <w:rPr>
                <w:sz w:val="20"/>
              </w:rPr>
              <w:t>full performance level title</w:t>
            </w:r>
            <w:r w:rsidR="005E1917">
              <w:rPr>
                <w:sz w:val="20"/>
              </w:rPr>
              <w:t xml:space="preserve"> (the “Target Title”)</w:t>
            </w:r>
            <w:r w:rsidR="0003286B" w:rsidRPr="00C678B6">
              <w:rPr>
                <w:sz w:val="20"/>
              </w:rPr>
              <w:t>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  <w:p w:rsidR="008B3AE5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</w:t>
            </w:r>
            <w:r w:rsidR="00EC353E" w:rsidRPr="00C678B6">
              <w:rPr>
                <w:sz w:val="20"/>
              </w:rPr>
              <w:t xml:space="preserve">The higher of the current </w:t>
            </w:r>
            <w:r w:rsidR="00E532B6">
              <w:rPr>
                <w:sz w:val="20"/>
              </w:rPr>
              <w:t>Trainee</w:t>
            </w:r>
            <w:r w:rsidR="00EC353E" w:rsidRPr="00C678B6">
              <w:rPr>
                <w:sz w:val="20"/>
              </w:rPr>
              <w:t xml:space="preserve">ship salary </w:t>
            </w:r>
            <w:r w:rsidRPr="00C678B6">
              <w:rPr>
                <w:sz w:val="20"/>
              </w:rPr>
              <w:t xml:space="preserve">plus the </w:t>
            </w:r>
            <w:r w:rsidR="001002F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2D7D48" w:rsidRPr="00C678B6">
              <w:rPr>
                <w:sz w:val="20"/>
              </w:rPr>
              <w:t xml:space="preserve">” </w:t>
            </w:r>
            <w:r w:rsidR="00134C9C" w:rsidRPr="00C678B6">
              <w:rPr>
                <w:sz w:val="20"/>
              </w:rPr>
              <w:t xml:space="preserve">of the </w:t>
            </w:r>
            <w:r w:rsidR="00E532B6">
              <w:rPr>
                <w:sz w:val="20"/>
              </w:rPr>
              <w:t>Trainee</w:t>
            </w:r>
            <w:r w:rsidR="00134C9C" w:rsidRPr="00C678B6">
              <w:rPr>
                <w:sz w:val="20"/>
              </w:rPr>
              <w:t xml:space="preserve"> title (Not to Exceed the </w:t>
            </w:r>
            <w:r w:rsidRPr="00C678B6">
              <w:rPr>
                <w:sz w:val="20"/>
              </w:rPr>
              <w:t xml:space="preserve">Job Rate of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title)</w:t>
            </w:r>
            <w:r w:rsidR="00EC353E" w:rsidRPr="00C678B6">
              <w:rPr>
                <w:sz w:val="20"/>
              </w:rPr>
              <w:t xml:space="preserve"> plus the </w:t>
            </w:r>
            <w:r w:rsidR="001002F1" w:rsidRPr="00C678B6">
              <w:rPr>
                <w:sz w:val="20"/>
              </w:rPr>
              <w:t>“</w:t>
            </w:r>
            <w:r w:rsidR="00B9386A" w:rsidRPr="00C678B6">
              <w:rPr>
                <w:sz w:val="20"/>
              </w:rPr>
              <w:t>Increase Upon Completion</w:t>
            </w:r>
            <w:r w:rsidR="001002F1" w:rsidRPr="00C678B6">
              <w:rPr>
                <w:sz w:val="20"/>
              </w:rPr>
              <w:t>”</w:t>
            </w:r>
            <w:r w:rsidR="00B9386A" w:rsidRPr="00C678B6">
              <w:rPr>
                <w:sz w:val="20"/>
              </w:rPr>
              <w:t xml:space="preserve"> </w:t>
            </w:r>
            <w:r w:rsidR="00EC353E" w:rsidRPr="00C678B6">
              <w:rPr>
                <w:sz w:val="20"/>
              </w:rPr>
              <w:t xml:space="preserve">of the </w:t>
            </w:r>
            <w:r w:rsidR="00E532B6">
              <w:rPr>
                <w:sz w:val="20"/>
              </w:rPr>
              <w:t>Trainee</w:t>
            </w:r>
            <w:r w:rsidR="00EC353E" w:rsidRPr="00C678B6">
              <w:rPr>
                <w:sz w:val="20"/>
              </w:rPr>
              <w:t xml:space="preserve"> title</w:t>
            </w:r>
            <w:r w:rsidR="00B9386A" w:rsidRPr="00C678B6">
              <w:rPr>
                <w:sz w:val="20"/>
              </w:rPr>
              <w:t xml:space="preserve"> </w:t>
            </w:r>
            <w:r w:rsidR="00EC353E" w:rsidRPr="00C678B6">
              <w:rPr>
                <w:b/>
                <w:sz w:val="20"/>
                <w:u w:val="single"/>
              </w:rPr>
              <w:t>OR</w:t>
            </w:r>
            <w:r w:rsidR="00EC353E" w:rsidRPr="00C678B6">
              <w:rPr>
                <w:sz w:val="20"/>
              </w:rPr>
              <w:t xml:space="preserve"> the Hiring Rate of the </w:t>
            </w:r>
            <w:r w:rsidR="000124E7">
              <w:rPr>
                <w:sz w:val="20"/>
              </w:rPr>
              <w:t>full performance or “Target</w:t>
            </w:r>
            <w:r w:rsidR="00EC353E" w:rsidRPr="00C678B6">
              <w:rPr>
                <w:sz w:val="20"/>
              </w:rPr>
              <w:t xml:space="preserve"> </w:t>
            </w:r>
            <w:r w:rsidR="00FD2D7C">
              <w:rPr>
                <w:sz w:val="20"/>
              </w:rPr>
              <w:t>T</w:t>
            </w:r>
            <w:r w:rsidR="00EC353E" w:rsidRPr="00C678B6">
              <w:rPr>
                <w:sz w:val="20"/>
              </w:rPr>
              <w:t>itle.</w:t>
            </w:r>
            <w:r w:rsidR="00FD2D7C">
              <w:rPr>
                <w:sz w:val="20"/>
              </w:rPr>
              <w:t>”</w:t>
            </w:r>
          </w:p>
          <w:p w:rsidR="00FD2D7C" w:rsidRDefault="00FD2D7C" w:rsidP="00F74C8A">
            <w:pPr>
              <w:jc w:val="both"/>
              <w:rPr>
                <w:sz w:val="20"/>
              </w:rPr>
            </w:pPr>
          </w:p>
          <w:p w:rsidR="00E669C8" w:rsidRPr="00C678B6" w:rsidRDefault="00C07FD3" w:rsidP="00F74C8A">
            <w:pPr>
              <w:jc w:val="both"/>
              <w:rPr>
                <w:sz w:val="20"/>
              </w:rPr>
            </w:pPr>
            <w:r w:rsidRPr="00C678B6">
              <w:rPr>
                <w:sz w:val="20"/>
              </w:rPr>
              <w:t xml:space="preserve">However, under circumstances where an employee </w:t>
            </w:r>
            <w:r w:rsidR="00A226F5" w:rsidRPr="00C678B6">
              <w:rPr>
                <w:sz w:val="20"/>
              </w:rPr>
              <w:t xml:space="preserve">did not receive a salary increase upon appointment </w:t>
            </w:r>
            <w:r w:rsidR="00A226F5" w:rsidRPr="00C678B6">
              <w:rPr>
                <w:b/>
                <w:sz w:val="20"/>
                <w:u w:val="single"/>
              </w:rPr>
              <w:t>AND</w:t>
            </w:r>
            <w:r w:rsidR="00A226F5" w:rsidRPr="00C678B6">
              <w:rPr>
                <w:sz w:val="20"/>
              </w:rPr>
              <w:t xml:space="preserve"> did not receive a “Service Payment” during or at the end of a </w:t>
            </w:r>
            <w:r w:rsidR="00E532B6">
              <w:rPr>
                <w:sz w:val="20"/>
              </w:rPr>
              <w:t>Trainee</w:t>
            </w:r>
            <w:r w:rsidR="00A226F5" w:rsidRPr="00C678B6">
              <w:rPr>
                <w:sz w:val="20"/>
              </w:rPr>
              <w:t xml:space="preserve">ship, </w:t>
            </w:r>
            <w:r w:rsidR="00F348DA" w:rsidRPr="00C678B6">
              <w:rPr>
                <w:sz w:val="20"/>
              </w:rPr>
              <w:t>an</w:t>
            </w:r>
            <w:r w:rsidR="00A226F5" w:rsidRPr="00C678B6">
              <w:rPr>
                <w:sz w:val="20"/>
              </w:rPr>
              <w:t xml:space="preserve"> employee’s salary will be calculated as the higher of: 1) the Hir</w:t>
            </w:r>
            <w:r w:rsidR="002F342E" w:rsidRPr="00C678B6">
              <w:rPr>
                <w:sz w:val="20"/>
              </w:rPr>
              <w:t>ing</w:t>
            </w:r>
            <w:r w:rsidR="00A226F5" w:rsidRPr="00C678B6">
              <w:rPr>
                <w:sz w:val="20"/>
              </w:rPr>
              <w:t xml:space="preserve"> Rate of the </w:t>
            </w:r>
            <w:r w:rsidR="008B3AE5">
              <w:rPr>
                <w:sz w:val="20"/>
              </w:rPr>
              <w:t>full performance or “Target</w:t>
            </w:r>
            <w:r w:rsidR="007F343B">
              <w:rPr>
                <w:sz w:val="20"/>
              </w:rPr>
              <w:t xml:space="preserve"> </w:t>
            </w:r>
            <w:r w:rsidR="00E21CC4">
              <w:rPr>
                <w:sz w:val="20"/>
              </w:rPr>
              <w:t>T</w:t>
            </w:r>
            <w:r w:rsidR="00A226F5" w:rsidRPr="00C678B6">
              <w:rPr>
                <w:sz w:val="20"/>
              </w:rPr>
              <w:t>itle;</w:t>
            </w:r>
            <w:r w:rsidR="00E21CC4">
              <w:rPr>
                <w:sz w:val="20"/>
              </w:rPr>
              <w:t>”</w:t>
            </w:r>
            <w:r w:rsidR="00A226F5" w:rsidRPr="00C678B6">
              <w:rPr>
                <w:sz w:val="20"/>
              </w:rPr>
              <w:t xml:space="preserve"> </w:t>
            </w:r>
            <w:r w:rsidR="00123436" w:rsidRPr="00C678B6">
              <w:rPr>
                <w:b/>
                <w:sz w:val="20"/>
                <w:u w:val="single"/>
              </w:rPr>
              <w:t>OR</w:t>
            </w:r>
            <w:r w:rsidR="00123436" w:rsidRPr="00C678B6">
              <w:rPr>
                <w:sz w:val="20"/>
              </w:rPr>
              <w:t xml:space="preserve"> </w:t>
            </w:r>
            <w:r w:rsidR="00A226F5" w:rsidRPr="00C678B6">
              <w:rPr>
                <w:sz w:val="20"/>
              </w:rPr>
              <w:t xml:space="preserve">2) </w:t>
            </w:r>
            <w:r w:rsidR="00EB6805" w:rsidRPr="00C678B6">
              <w:rPr>
                <w:sz w:val="20"/>
              </w:rPr>
              <w:t xml:space="preserve">the </w:t>
            </w:r>
            <w:r w:rsidR="00A226F5" w:rsidRPr="00C678B6">
              <w:rPr>
                <w:sz w:val="20"/>
              </w:rPr>
              <w:t>addi</w:t>
            </w:r>
            <w:r w:rsidR="00EB6805" w:rsidRPr="00C678B6">
              <w:rPr>
                <w:sz w:val="20"/>
              </w:rPr>
              <w:t>tion of</w:t>
            </w:r>
            <w:r w:rsidR="00A226F5" w:rsidRPr="00C678B6">
              <w:rPr>
                <w:sz w:val="20"/>
              </w:rPr>
              <w:t xml:space="preserve"> the “Increase Upon Completion” amount on top of the </w:t>
            </w:r>
            <w:r w:rsidR="004C4E9F" w:rsidRPr="00C678B6">
              <w:rPr>
                <w:sz w:val="20"/>
              </w:rPr>
              <w:t>current</w:t>
            </w:r>
            <w:r w:rsidR="00962E5A" w:rsidRPr="00C678B6">
              <w:rPr>
                <w:sz w:val="20"/>
              </w:rPr>
              <w:t xml:space="preserve"> salary; </w:t>
            </w:r>
            <w:r w:rsidR="00962E5A" w:rsidRPr="00C678B6">
              <w:rPr>
                <w:b/>
                <w:sz w:val="20"/>
                <w:u w:val="single"/>
              </w:rPr>
              <w:t>OR</w:t>
            </w:r>
            <w:r w:rsidR="00A226F5" w:rsidRPr="00C678B6">
              <w:rPr>
                <w:sz w:val="20"/>
              </w:rPr>
              <w:t xml:space="preserve"> 3) </w:t>
            </w:r>
            <w:r w:rsidR="00EB6805" w:rsidRPr="00C678B6">
              <w:rPr>
                <w:sz w:val="20"/>
              </w:rPr>
              <w:t>the current</w:t>
            </w:r>
            <w:r w:rsidR="00A226F5" w:rsidRPr="00C678B6">
              <w:rPr>
                <w:sz w:val="20"/>
              </w:rPr>
              <w:t xml:space="preserve"> salary </w:t>
            </w:r>
            <w:r w:rsidR="00F348DA" w:rsidRPr="00C678B6">
              <w:rPr>
                <w:sz w:val="20"/>
              </w:rPr>
              <w:t xml:space="preserve">increased </w:t>
            </w:r>
            <w:r w:rsidR="00A226F5" w:rsidRPr="00C678B6">
              <w:rPr>
                <w:sz w:val="20"/>
              </w:rPr>
              <w:t xml:space="preserve">pursuant to the </w:t>
            </w:r>
            <w:r w:rsidR="004B5929" w:rsidRPr="00C678B6">
              <w:rPr>
                <w:sz w:val="20"/>
              </w:rPr>
              <w:t>negotiated promotion calculation.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</w:tc>
      </w:tr>
    </w:tbl>
    <w:p w:rsidR="00E669C8" w:rsidRPr="0015231D" w:rsidRDefault="00E669C8" w:rsidP="00E669C8">
      <w:pPr>
        <w:jc w:val="both"/>
        <w:rPr>
          <w:sz w:val="16"/>
          <w:szCs w:val="16"/>
        </w:rPr>
      </w:pPr>
    </w:p>
    <w:p w:rsidR="00E669C8" w:rsidRPr="00BE4CD2" w:rsidRDefault="00E669C8" w:rsidP="00FD78E6">
      <w:pPr>
        <w:tabs>
          <w:tab w:val="left" w:pos="720"/>
        </w:tabs>
        <w:jc w:val="both"/>
        <w:rPr>
          <w:b/>
        </w:rPr>
      </w:pPr>
      <w:r w:rsidRPr="00B64BEE">
        <w:rPr>
          <w:b/>
          <w:u w:val="single"/>
        </w:rPr>
        <w:t>B.</w:t>
      </w:r>
      <w:r w:rsidRPr="00B64BEE">
        <w:rPr>
          <w:b/>
          <w:u w:val="single"/>
        </w:rPr>
        <w:tab/>
      </w:r>
      <w:r w:rsidR="00E532B6">
        <w:rPr>
          <w:b/>
          <w:u w:val="single"/>
        </w:rPr>
        <w:t>Trainee</w:t>
      </w:r>
      <w:r w:rsidRPr="00B64BEE">
        <w:rPr>
          <w:b/>
          <w:u w:val="single"/>
        </w:rPr>
        <w:t>ships Longer than One (1) Year</w:t>
      </w:r>
      <w:r w:rsidR="00E67D6E">
        <w:rPr>
          <w:b/>
          <w:u w:val="single"/>
        </w:rPr>
        <w:t xml:space="preserve"> </w:t>
      </w:r>
    </w:p>
    <w:p w:rsidR="00E669C8" w:rsidRPr="0015231D" w:rsidRDefault="00E669C8" w:rsidP="00E669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10"/>
      </w:tblGrid>
      <w:tr w:rsidR="00E669C8" w:rsidTr="00C678B6">
        <w:tc>
          <w:tcPr>
            <w:tcW w:w="1548" w:type="dxa"/>
            <w:shd w:val="clear" w:color="auto" w:fill="B3B3B3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Scenario</w:t>
            </w:r>
          </w:p>
        </w:tc>
        <w:tc>
          <w:tcPr>
            <w:tcW w:w="8010" w:type="dxa"/>
            <w:shd w:val="clear" w:color="auto" w:fill="B3B3B3"/>
          </w:tcPr>
          <w:p w:rsidR="00E669C8" w:rsidRPr="00C678B6" w:rsidRDefault="00E669C8" w:rsidP="00F74C8A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No Prior </w:t>
            </w:r>
            <w:r w:rsidR="00EF66EB" w:rsidRPr="00C678B6">
              <w:rPr>
                <w:b/>
                <w:sz w:val="20"/>
              </w:rPr>
              <w:t xml:space="preserve">Graded </w:t>
            </w:r>
            <w:r w:rsidRPr="00C678B6">
              <w:rPr>
                <w:b/>
                <w:sz w:val="20"/>
              </w:rPr>
              <w:t>State Service</w:t>
            </w:r>
          </w:p>
        </w:tc>
        <w:tc>
          <w:tcPr>
            <w:tcW w:w="8010" w:type="dxa"/>
          </w:tcPr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="008C2260"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>Hiring</w:t>
            </w:r>
            <w:r w:rsidR="008C2260" w:rsidRPr="00C678B6">
              <w:rPr>
                <w:sz w:val="20"/>
              </w:rPr>
              <w:t xml:space="preserve"> Rate of a</w:t>
            </w:r>
            <w:r w:rsidRPr="00C678B6">
              <w:rPr>
                <w:sz w:val="20"/>
              </w:rPr>
              <w:t xml:space="preserve">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>ship.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Compensation Progression</w:t>
            </w:r>
            <w:r w:rsidRPr="00C678B6">
              <w:rPr>
                <w:b/>
                <w:sz w:val="20"/>
              </w:rPr>
              <w:t xml:space="preserve"> </w:t>
            </w:r>
            <w:r w:rsidRPr="00C678B6">
              <w:rPr>
                <w:sz w:val="20"/>
              </w:rPr>
              <w:t xml:space="preserve">– The </w:t>
            </w:r>
            <w:r w:rsidR="00CE1ABD" w:rsidRPr="00C678B6">
              <w:rPr>
                <w:sz w:val="20"/>
              </w:rPr>
              <w:t xml:space="preserve">Hiring </w:t>
            </w:r>
            <w:r w:rsidRPr="00C678B6">
              <w:rPr>
                <w:sz w:val="20"/>
              </w:rPr>
              <w:t xml:space="preserve">Rate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 in conjunction with the movement between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levels.  This will occur for each level of </w:t>
            </w:r>
            <w:r w:rsidR="009305E2" w:rsidRPr="00C678B6">
              <w:rPr>
                <w:sz w:val="20"/>
              </w:rPr>
              <w:t>advancement</w:t>
            </w:r>
            <w:r w:rsidRPr="00C678B6">
              <w:rPr>
                <w:sz w:val="20"/>
              </w:rPr>
              <w:t xml:space="preserve"> only if rated satisfactory in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>ship</w:t>
            </w:r>
            <w:r w:rsidR="00E2311A" w:rsidRPr="00C678B6">
              <w:rPr>
                <w:sz w:val="20"/>
              </w:rPr>
              <w:t xml:space="preserve"> (this advancement requires processing by each agency)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b/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 xml:space="preserve">Hiring </w:t>
            </w:r>
            <w:r w:rsidR="007E515B" w:rsidRPr="00C678B6">
              <w:rPr>
                <w:sz w:val="20"/>
              </w:rPr>
              <w:t xml:space="preserve">Rate of the </w:t>
            </w:r>
            <w:r w:rsidR="00774E97" w:rsidRPr="00C678B6">
              <w:rPr>
                <w:sz w:val="20"/>
              </w:rPr>
              <w:t xml:space="preserve">full </w:t>
            </w:r>
            <w:r w:rsidR="007E515B" w:rsidRPr="00C678B6">
              <w:rPr>
                <w:sz w:val="20"/>
              </w:rPr>
              <w:t xml:space="preserve">performance level </w:t>
            </w:r>
            <w:r w:rsidR="00A61DE2">
              <w:rPr>
                <w:sz w:val="20"/>
              </w:rPr>
              <w:t>title (</w:t>
            </w:r>
            <w:r w:rsidR="006F2FFF">
              <w:rPr>
                <w:sz w:val="20"/>
              </w:rPr>
              <w:t xml:space="preserve">which </w:t>
            </w:r>
            <w:r w:rsidR="00A61DE2">
              <w:rPr>
                <w:sz w:val="20"/>
              </w:rPr>
              <w:t>also som</w:t>
            </w:r>
            <w:r w:rsidR="003322CC">
              <w:rPr>
                <w:sz w:val="20"/>
              </w:rPr>
              <w:t xml:space="preserve">etimes </w:t>
            </w:r>
            <w:r w:rsidR="006F2FFF">
              <w:rPr>
                <w:sz w:val="20"/>
              </w:rPr>
              <w:t xml:space="preserve">is </w:t>
            </w:r>
            <w:r w:rsidR="003322CC">
              <w:rPr>
                <w:sz w:val="20"/>
              </w:rPr>
              <w:t>called the “Target Title”</w:t>
            </w:r>
            <w:r w:rsidR="00A61DE2">
              <w:rPr>
                <w:sz w:val="20"/>
              </w:rPr>
              <w:t>).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Prior Graded </w:t>
            </w:r>
            <w:r w:rsidR="00EF66EB" w:rsidRPr="00C678B6">
              <w:rPr>
                <w:b/>
                <w:sz w:val="20"/>
              </w:rPr>
              <w:t xml:space="preserve">State </w:t>
            </w:r>
            <w:r w:rsidRPr="00C678B6">
              <w:rPr>
                <w:b/>
                <w:sz w:val="20"/>
              </w:rPr>
              <w:t>Service</w:t>
            </w:r>
          </w:p>
        </w:tc>
        <w:tc>
          <w:tcPr>
            <w:tcW w:w="8010" w:type="dxa"/>
          </w:tcPr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Pr="00C678B6">
              <w:rPr>
                <w:sz w:val="20"/>
              </w:rPr>
              <w:t xml:space="preserve"> – The</w:t>
            </w:r>
            <w:r w:rsidR="008C2260" w:rsidRPr="00C678B6">
              <w:rPr>
                <w:sz w:val="20"/>
              </w:rPr>
              <w:t xml:space="preserve"> higher of the </w:t>
            </w:r>
            <w:r w:rsidR="00CE1ABD" w:rsidRPr="00C678B6">
              <w:rPr>
                <w:sz w:val="20"/>
              </w:rPr>
              <w:t xml:space="preserve">Hiring </w:t>
            </w:r>
            <w:r w:rsidR="008C2260" w:rsidRPr="00C678B6">
              <w:rPr>
                <w:sz w:val="20"/>
              </w:rPr>
              <w:t>Rate of a</w:t>
            </w:r>
            <w:r w:rsidR="006774B5" w:rsidRPr="00C678B6">
              <w:rPr>
                <w:sz w:val="20"/>
              </w:rPr>
              <w:t xml:space="preserve">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</w:t>
            </w:r>
            <w:r w:rsidR="00134C9C" w:rsidRPr="00C678B6">
              <w:rPr>
                <w:b/>
                <w:sz w:val="20"/>
                <w:u w:val="single"/>
              </w:rPr>
              <w:t>OR</w:t>
            </w:r>
            <w:r w:rsidRPr="00C678B6">
              <w:rPr>
                <w:sz w:val="20"/>
              </w:rPr>
              <w:t xml:space="preserve"> </w:t>
            </w:r>
            <w:r w:rsidR="00381763" w:rsidRPr="00C678B6">
              <w:rPr>
                <w:sz w:val="20"/>
              </w:rPr>
              <w:t>current graded</w:t>
            </w:r>
            <w:r w:rsidRPr="00C678B6">
              <w:rPr>
                <w:sz w:val="20"/>
              </w:rPr>
              <w:t xml:space="preserve"> salary.</w:t>
            </w:r>
            <w:r w:rsidR="009900C5" w:rsidRPr="00C678B6">
              <w:rPr>
                <w:sz w:val="20"/>
              </w:rPr>
              <w:t xml:space="preserve">  However, if an employee’s current graded position is </w:t>
            </w:r>
            <w:r w:rsidR="00CF63E2" w:rsidRPr="00C678B6">
              <w:rPr>
                <w:sz w:val="20"/>
              </w:rPr>
              <w:t>higher</w:t>
            </w:r>
            <w:r w:rsidR="009900C5" w:rsidRPr="00C678B6">
              <w:rPr>
                <w:sz w:val="20"/>
              </w:rPr>
              <w:t xml:space="preserve"> than that which will be achieved at the end of a </w:t>
            </w:r>
            <w:proofErr w:type="gramStart"/>
            <w:r w:rsidR="00E532B6">
              <w:rPr>
                <w:sz w:val="20"/>
              </w:rPr>
              <w:t>Trainee</w:t>
            </w:r>
            <w:r w:rsidR="009900C5" w:rsidRPr="00C678B6">
              <w:rPr>
                <w:sz w:val="20"/>
              </w:rPr>
              <w:t>ship,</w:t>
            </w:r>
            <w:proofErr w:type="gramEnd"/>
            <w:r w:rsidR="009900C5" w:rsidRPr="00C678B6">
              <w:rPr>
                <w:sz w:val="20"/>
              </w:rPr>
              <w:t xml:space="preserve"> the employee’s salary will be reconstructed based upon </w:t>
            </w:r>
            <w:r w:rsidR="00501861">
              <w:rPr>
                <w:sz w:val="20"/>
              </w:rPr>
              <w:t>the grade level of the targeted</w:t>
            </w:r>
            <w:r w:rsidR="009900C5" w:rsidRPr="00C678B6">
              <w:rPr>
                <w:sz w:val="20"/>
              </w:rPr>
              <w:t xml:space="preserve"> title.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Compensation Progression</w:t>
            </w:r>
            <w:r w:rsidRPr="00C678B6">
              <w:rPr>
                <w:b/>
                <w:sz w:val="20"/>
              </w:rPr>
              <w:t xml:space="preserve"> </w:t>
            </w:r>
            <w:r w:rsidRPr="00C678B6">
              <w:rPr>
                <w:sz w:val="20"/>
              </w:rPr>
              <w:t>– The higher of the Hir</w:t>
            </w:r>
            <w:r w:rsidR="002F342E" w:rsidRPr="00C678B6">
              <w:rPr>
                <w:sz w:val="20"/>
              </w:rPr>
              <w:t>ing</w:t>
            </w:r>
            <w:r w:rsidRPr="00C678B6">
              <w:rPr>
                <w:sz w:val="20"/>
              </w:rPr>
              <w:t xml:space="preserve"> Rate of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 in conjunction with the mo</w:t>
            </w:r>
            <w:r w:rsidR="00134C9C" w:rsidRPr="00C678B6">
              <w:rPr>
                <w:sz w:val="20"/>
              </w:rPr>
              <w:t xml:space="preserve">vement between </w:t>
            </w:r>
            <w:r w:rsidR="00E532B6">
              <w:rPr>
                <w:sz w:val="20"/>
              </w:rPr>
              <w:t>Trainee</w:t>
            </w:r>
            <w:r w:rsidR="00134C9C" w:rsidRPr="00C678B6">
              <w:rPr>
                <w:sz w:val="20"/>
              </w:rPr>
              <w:t xml:space="preserve"> levels </w:t>
            </w:r>
            <w:r w:rsidR="00134C9C" w:rsidRPr="00C678B6">
              <w:rPr>
                <w:b/>
                <w:sz w:val="20"/>
                <w:u w:val="single"/>
              </w:rPr>
              <w:t>OR</w:t>
            </w:r>
            <w:r w:rsidRPr="00C678B6">
              <w:rPr>
                <w:sz w:val="20"/>
              </w:rPr>
              <w:t xml:space="preserve"> the </w:t>
            </w:r>
            <w:r w:rsidR="00EB6805" w:rsidRPr="00C678B6">
              <w:rPr>
                <w:sz w:val="20"/>
              </w:rPr>
              <w:t>current</w:t>
            </w:r>
            <w:r w:rsidRPr="00C678B6">
              <w:rPr>
                <w:sz w:val="20"/>
              </w:rPr>
              <w:t xml:space="preserve"> salary plus a </w:t>
            </w:r>
            <w:r w:rsidR="001002F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1002F1" w:rsidRPr="00C678B6">
              <w:rPr>
                <w:sz w:val="20"/>
              </w:rPr>
              <w:t>”</w:t>
            </w:r>
            <w:r w:rsidRPr="00C678B6">
              <w:rPr>
                <w:sz w:val="20"/>
              </w:rPr>
              <w:t xml:space="preserve"> (</w:t>
            </w:r>
            <w:r w:rsidR="001002F1" w:rsidRPr="00C678B6">
              <w:rPr>
                <w:sz w:val="20"/>
              </w:rPr>
              <w:t>Not To Exceed the</w:t>
            </w:r>
            <w:r w:rsidRPr="00C678B6">
              <w:rPr>
                <w:sz w:val="20"/>
              </w:rPr>
              <w:t xml:space="preserve"> Job Rate of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title).  This will occur for each level of </w:t>
            </w:r>
            <w:r w:rsidR="001D46C9" w:rsidRPr="00C678B6">
              <w:rPr>
                <w:sz w:val="20"/>
              </w:rPr>
              <w:t>advancement</w:t>
            </w:r>
            <w:r w:rsidRPr="00C678B6">
              <w:rPr>
                <w:sz w:val="20"/>
              </w:rPr>
              <w:t xml:space="preserve"> only if rated satisfactory in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>ship</w:t>
            </w:r>
            <w:r w:rsidR="00E2311A" w:rsidRPr="00C678B6">
              <w:rPr>
                <w:sz w:val="20"/>
              </w:rPr>
              <w:t xml:space="preserve"> (i.e., this advancement requires processing by each agency)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0D0A29" w:rsidRDefault="00E669C8" w:rsidP="005B5FF7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</w:t>
            </w:r>
            <w:r w:rsidR="009A197D" w:rsidRPr="00C678B6">
              <w:rPr>
                <w:sz w:val="20"/>
              </w:rPr>
              <w:t xml:space="preserve">The higher of the current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ship salary plus the “Service Payment” of the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 title (Not to Exceed the Job Rate of the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 title) plus the “Increase Upon Completion” of the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 title </w:t>
            </w:r>
            <w:r w:rsidR="009A197D" w:rsidRPr="00C678B6">
              <w:rPr>
                <w:b/>
                <w:sz w:val="20"/>
                <w:u w:val="single"/>
              </w:rPr>
              <w:t>OR</w:t>
            </w:r>
            <w:r w:rsidR="009A197D" w:rsidRPr="00C678B6">
              <w:rPr>
                <w:sz w:val="20"/>
              </w:rPr>
              <w:t xml:space="preserve"> the Hiring Rate of the full performance level title.  </w:t>
            </w:r>
            <w:r w:rsidR="00B8549A" w:rsidRPr="00C678B6">
              <w:rPr>
                <w:sz w:val="20"/>
              </w:rPr>
              <w:t xml:space="preserve">However, under circumstances where an employee did not receive a salary increase upon appointment </w:t>
            </w:r>
            <w:r w:rsidR="00B8549A" w:rsidRPr="00C678B6">
              <w:rPr>
                <w:b/>
                <w:sz w:val="20"/>
                <w:u w:val="single"/>
              </w:rPr>
              <w:t>AND</w:t>
            </w:r>
            <w:r w:rsidR="00B8549A" w:rsidRPr="00C678B6">
              <w:rPr>
                <w:sz w:val="20"/>
              </w:rPr>
              <w:t xml:space="preserve"> did not receive a “Service Payment” during or at the end of a </w:t>
            </w:r>
            <w:r w:rsidR="00E532B6">
              <w:rPr>
                <w:sz w:val="20"/>
              </w:rPr>
              <w:t>Trainee</w:t>
            </w:r>
            <w:r w:rsidR="00B8549A" w:rsidRPr="00C678B6">
              <w:rPr>
                <w:sz w:val="20"/>
              </w:rPr>
              <w:t>ship, an employee’s salary will be calculated as the higher of: 1) the Hir</w:t>
            </w:r>
            <w:r w:rsidR="00CE1ABD" w:rsidRPr="00C678B6">
              <w:rPr>
                <w:sz w:val="20"/>
              </w:rPr>
              <w:t>ing</w:t>
            </w:r>
            <w:r w:rsidR="00B8549A" w:rsidRPr="00C678B6">
              <w:rPr>
                <w:sz w:val="20"/>
              </w:rPr>
              <w:t xml:space="preserve"> Rate of the </w:t>
            </w:r>
            <w:r w:rsidR="00991596" w:rsidRPr="00C678B6">
              <w:rPr>
                <w:sz w:val="20"/>
              </w:rPr>
              <w:t xml:space="preserve">full </w:t>
            </w:r>
            <w:r w:rsidR="002F342E" w:rsidRPr="00C678B6">
              <w:rPr>
                <w:sz w:val="20"/>
              </w:rPr>
              <w:t>performance level</w:t>
            </w:r>
            <w:r w:rsidR="00B8549A" w:rsidRPr="00C678B6">
              <w:rPr>
                <w:sz w:val="20"/>
              </w:rPr>
              <w:t xml:space="preserve"> title; </w:t>
            </w:r>
            <w:r w:rsidR="00123436" w:rsidRPr="00C678B6">
              <w:rPr>
                <w:b/>
                <w:sz w:val="20"/>
                <w:u w:val="single"/>
              </w:rPr>
              <w:t>OR</w:t>
            </w:r>
            <w:r w:rsidR="00123436" w:rsidRPr="00C678B6">
              <w:rPr>
                <w:sz w:val="20"/>
              </w:rPr>
              <w:t xml:space="preserve"> </w:t>
            </w:r>
            <w:r w:rsidR="00B8549A" w:rsidRPr="00C678B6">
              <w:rPr>
                <w:sz w:val="20"/>
              </w:rPr>
              <w:t xml:space="preserve">2) the addition of the “Increase Upon Completion” amount on top </w:t>
            </w:r>
            <w:r w:rsidR="00962E5A" w:rsidRPr="00C678B6">
              <w:rPr>
                <w:sz w:val="20"/>
              </w:rPr>
              <w:t xml:space="preserve">of the current salary; </w:t>
            </w:r>
            <w:r w:rsidR="00962E5A" w:rsidRPr="00C678B6">
              <w:rPr>
                <w:b/>
                <w:sz w:val="20"/>
                <w:u w:val="single"/>
              </w:rPr>
              <w:t>OR</w:t>
            </w:r>
            <w:r w:rsidR="00962E5A" w:rsidRPr="00C678B6">
              <w:rPr>
                <w:sz w:val="20"/>
              </w:rPr>
              <w:t xml:space="preserve"> </w:t>
            </w:r>
            <w:r w:rsidR="00B8549A" w:rsidRPr="00C678B6">
              <w:rPr>
                <w:sz w:val="20"/>
              </w:rPr>
              <w:t xml:space="preserve">3) the current </w:t>
            </w:r>
            <w:r w:rsidR="00B8549A" w:rsidRPr="00C678B6">
              <w:rPr>
                <w:sz w:val="20"/>
              </w:rPr>
              <w:lastRenderedPageBreak/>
              <w:t>salary increased pursuant to the negotiated promotion calculation.</w:t>
            </w:r>
          </w:p>
          <w:p w:rsidR="008C2117" w:rsidRPr="00C678B6" w:rsidRDefault="008C2117" w:rsidP="005B5FF7">
            <w:pPr>
              <w:jc w:val="both"/>
              <w:rPr>
                <w:sz w:val="20"/>
              </w:rPr>
            </w:pPr>
          </w:p>
        </w:tc>
      </w:tr>
    </w:tbl>
    <w:p w:rsidR="001E342C" w:rsidRDefault="001E342C" w:rsidP="00823187">
      <w:pPr>
        <w:jc w:val="both"/>
        <w:rPr>
          <w:sz w:val="16"/>
          <w:szCs w:val="16"/>
        </w:rPr>
      </w:pPr>
    </w:p>
    <w:p w:rsidR="00BE4CD2" w:rsidRPr="000E3077" w:rsidRDefault="00A229D6" w:rsidP="00A229D6">
      <w:pPr>
        <w:jc w:val="both"/>
        <w:rPr>
          <w:sz w:val="16"/>
          <w:szCs w:val="16"/>
        </w:rPr>
      </w:pPr>
      <w:r w:rsidRPr="00823187">
        <w:rPr>
          <w:sz w:val="16"/>
          <w:szCs w:val="16"/>
        </w:rPr>
        <w:t xml:space="preserve">* </w:t>
      </w:r>
      <w:r>
        <w:rPr>
          <w:sz w:val="16"/>
          <w:szCs w:val="16"/>
        </w:rPr>
        <w:t>These are for general scenarios and the Office of the State Comptroller should be contacted about specifics</w:t>
      </w:r>
      <w:r w:rsidR="00852024">
        <w:rPr>
          <w:sz w:val="16"/>
          <w:szCs w:val="16"/>
        </w:rPr>
        <w:t>.  (B</w:t>
      </w:r>
      <w:r>
        <w:rPr>
          <w:sz w:val="16"/>
          <w:szCs w:val="16"/>
        </w:rPr>
        <w:t>aring exceptions, salaries are calculated consistent with the most-recently chaptered pay bills</w:t>
      </w:r>
      <w:r w:rsidR="00852024">
        <w:rPr>
          <w:sz w:val="16"/>
          <w:szCs w:val="16"/>
        </w:rPr>
        <w:t>.</w:t>
      </w:r>
      <w:r>
        <w:rPr>
          <w:sz w:val="16"/>
          <w:szCs w:val="16"/>
        </w:rPr>
        <w:t>)  Please note that: 1) c</w:t>
      </w:r>
      <w:r w:rsidRPr="00823187">
        <w:rPr>
          <w:sz w:val="16"/>
          <w:szCs w:val="16"/>
        </w:rPr>
        <w:t xml:space="preserve">ertain </w:t>
      </w:r>
      <w:r w:rsidR="00E532B6">
        <w:rPr>
          <w:sz w:val="16"/>
          <w:szCs w:val="16"/>
        </w:rPr>
        <w:t>Trainee</w:t>
      </w:r>
      <w:r w:rsidRPr="00823187">
        <w:rPr>
          <w:sz w:val="16"/>
          <w:szCs w:val="16"/>
        </w:rPr>
        <w:t>sh</w:t>
      </w:r>
      <w:r>
        <w:rPr>
          <w:sz w:val="16"/>
          <w:szCs w:val="16"/>
        </w:rPr>
        <w:t>ips allow for “fast-tracking” and the Division of Classification and Compensation</w:t>
      </w:r>
      <w:r w:rsidRPr="008231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should be contacted </w:t>
      </w:r>
      <w:r w:rsidRPr="00823187">
        <w:rPr>
          <w:sz w:val="16"/>
          <w:szCs w:val="16"/>
        </w:rPr>
        <w:t xml:space="preserve">for </w:t>
      </w:r>
      <w:r>
        <w:rPr>
          <w:sz w:val="16"/>
          <w:szCs w:val="16"/>
        </w:rPr>
        <w:t xml:space="preserve">more information; and 2) in the case where a </w:t>
      </w:r>
      <w:r w:rsidR="00E532B6">
        <w:rPr>
          <w:sz w:val="16"/>
          <w:szCs w:val="16"/>
        </w:rPr>
        <w:t>Trainee</w:t>
      </w:r>
      <w:r>
        <w:rPr>
          <w:sz w:val="16"/>
          <w:szCs w:val="16"/>
        </w:rPr>
        <w:t xml:space="preserve">ship is extended beyond its normal time frame, the Office of the State Comptroller should be contacted about salary compensation information.  </w:t>
      </w:r>
    </w:p>
    <w:sectPr w:rsidR="00BE4CD2" w:rsidRPr="000E3077" w:rsidSect="001523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1440" w:bottom="288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65" w:rsidRDefault="00214665">
      <w:r>
        <w:separator/>
      </w:r>
    </w:p>
  </w:endnote>
  <w:endnote w:type="continuationSeparator" w:id="0">
    <w:p w:rsidR="00214665" w:rsidRDefault="0021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97" w:rsidRDefault="006D0497" w:rsidP="00CE4244">
    <w:pPr>
      <w:pStyle w:val="Header"/>
    </w:pPr>
    <w:r>
      <w:rPr>
        <w:rStyle w:val="PageNumber"/>
      </w:rPr>
      <w:tab/>
      <w:t>-</w:t>
    </w:r>
    <w:r w:rsidR="000C25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25EB">
      <w:rPr>
        <w:rStyle w:val="PageNumber"/>
      </w:rPr>
      <w:fldChar w:fldCharType="separate"/>
    </w:r>
    <w:r w:rsidR="004809C4">
      <w:rPr>
        <w:rStyle w:val="PageNumber"/>
        <w:noProof/>
      </w:rPr>
      <w:t>2</w:t>
    </w:r>
    <w:r w:rsidR="000C25EB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97" w:rsidRPr="00DD40B2" w:rsidRDefault="006D0497" w:rsidP="00CE4244">
    <w:pPr>
      <w:pStyle w:val="Header"/>
      <w:rPr>
        <w:b/>
        <w:u w:val="single"/>
      </w:rPr>
    </w:pPr>
    <w:r>
      <w:rPr>
        <w:rStyle w:val="PageNumber"/>
      </w:rPr>
      <w:tab/>
      <w:t>-</w:t>
    </w:r>
    <w:r w:rsidR="000C25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25EB">
      <w:rPr>
        <w:rStyle w:val="PageNumber"/>
      </w:rPr>
      <w:fldChar w:fldCharType="separate"/>
    </w:r>
    <w:r w:rsidR="004809C4">
      <w:rPr>
        <w:rStyle w:val="PageNumber"/>
        <w:noProof/>
      </w:rPr>
      <w:t>1</w:t>
    </w:r>
    <w:r w:rsidR="000C25EB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65" w:rsidRDefault="00214665">
      <w:r>
        <w:separator/>
      </w:r>
    </w:p>
  </w:footnote>
  <w:footnote w:type="continuationSeparator" w:id="0">
    <w:p w:rsidR="00214665" w:rsidRDefault="0021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2CB"/>
    <w:rsid w:val="0000216D"/>
    <w:rsid w:val="0000622E"/>
    <w:rsid w:val="000124E7"/>
    <w:rsid w:val="000234E1"/>
    <w:rsid w:val="0003286B"/>
    <w:rsid w:val="00040FC7"/>
    <w:rsid w:val="0004219B"/>
    <w:rsid w:val="0005142A"/>
    <w:rsid w:val="00057A85"/>
    <w:rsid w:val="00086837"/>
    <w:rsid w:val="000925A1"/>
    <w:rsid w:val="0009358C"/>
    <w:rsid w:val="000C25EB"/>
    <w:rsid w:val="000C2F0E"/>
    <w:rsid w:val="000C44EB"/>
    <w:rsid w:val="000C5FFD"/>
    <w:rsid w:val="000C7789"/>
    <w:rsid w:val="000D0A29"/>
    <w:rsid w:val="000D6D6C"/>
    <w:rsid w:val="000E3077"/>
    <w:rsid w:val="000F189E"/>
    <w:rsid w:val="000F28FD"/>
    <w:rsid w:val="001002F1"/>
    <w:rsid w:val="001068CE"/>
    <w:rsid w:val="00112CA0"/>
    <w:rsid w:val="00115B1E"/>
    <w:rsid w:val="001224CF"/>
    <w:rsid w:val="00123436"/>
    <w:rsid w:val="00123F62"/>
    <w:rsid w:val="00131226"/>
    <w:rsid w:val="001328F8"/>
    <w:rsid w:val="00134C9C"/>
    <w:rsid w:val="00144B72"/>
    <w:rsid w:val="00151924"/>
    <w:rsid w:val="0015231D"/>
    <w:rsid w:val="0015274C"/>
    <w:rsid w:val="00170F7A"/>
    <w:rsid w:val="00174BDC"/>
    <w:rsid w:val="00174C71"/>
    <w:rsid w:val="00175A39"/>
    <w:rsid w:val="00196CEC"/>
    <w:rsid w:val="001A3086"/>
    <w:rsid w:val="001D0F7E"/>
    <w:rsid w:val="001D1FEC"/>
    <w:rsid w:val="001D3B45"/>
    <w:rsid w:val="001D46C9"/>
    <w:rsid w:val="001D5207"/>
    <w:rsid w:val="001D62DF"/>
    <w:rsid w:val="001E342C"/>
    <w:rsid w:val="001E47E5"/>
    <w:rsid w:val="001F04C2"/>
    <w:rsid w:val="001F590A"/>
    <w:rsid w:val="001F76E5"/>
    <w:rsid w:val="00214665"/>
    <w:rsid w:val="0022339C"/>
    <w:rsid w:val="00231278"/>
    <w:rsid w:val="002338C2"/>
    <w:rsid w:val="0024242B"/>
    <w:rsid w:val="00245B88"/>
    <w:rsid w:val="002476F6"/>
    <w:rsid w:val="002546A6"/>
    <w:rsid w:val="002602BA"/>
    <w:rsid w:val="00262426"/>
    <w:rsid w:val="00271C9A"/>
    <w:rsid w:val="00273A9F"/>
    <w:rsid w:val="00277FD2"/>
    <w:rsid w:val="0028106B"/>
    <w:rsid w:val="0028796E"/>
    <w:rsid w:val="00290BAB"/>
    <w:rsid w:val="00293D70"/>
    <w:rsid w:val="0029586B"/>
    <w:rsid w:val="002A0A56"/>
    <w:rsid w:val="002B23DD"/>
    <w:rsid w:val="002B55EB"/>
    <w:rsid w:val="002D2C17"/>
    <w:rsid w:val="002D6509"/>
    <w:rsid w:val="002D7D48"/>
    <w:rsid w:val="002E691D"/>
    <w:rsid w:val="002F1AD9"/>
    <w:rsid w:val="002F33B5"/>
    <w:rsid w:val="002F342E"/>
    <w:rsid w:val="00302AB6"/>
    <w:rsid w:val="0030699C"/>
    <w:rsid w:val="00316CD8"/>
    <w:rsid w:val="0032227F"/>
    <w:rsid w:val="00324E05"/>
    <w:rsid w:val="003322CC"/>
    <w:rsid w:val="00336045"/>
    <w:rsid w:val="003417DA"/>
    <w:rsid w:val="00350C15"/>
    <w:rsid w:val="00360153"/>
    <w:rsid w:val="00366F60"/>
    <w:rsid w:val="00381763"/>
    <w:rsid w:val="00383B39"/>
    <w:rsid w:val="00386498"/>
    <w:rsid w:val="00392071"/>
    <w:rsid w:val="00395D73"/>
    <w:rsid w:val="00397EC1"/>
    <w:rsid w:val="003A135A"/>
    <w:rsid w:val="003D2452"/>
    <w:rsid w:val="003D5085"/>
    <w:rsid w:val="003E79CF"/>
    <w:rsid w:val="003F6582"/>
    <w:rsid w:val="004035C6"/>
    <w:rsid w:val="00414089"/>
    <w:rsid w:val="00415605"/>
    <w:rsid w:val="00422A85"/>
    <w:rsid w:val="00427851"/>
    <w:rsid w:val="004328DF"/>
    <w:rsid w:val="00435B57"/>
    <w:rsid w:val="00435E66"/>
    <w:rsid w:val="00445420"/>
    <w:rsid w:val="004519D3"/>
    <w:rsid w:val="00453F8A"/>
    <w:rsid w:val="00461A0D"/>
    <w:rsid w:val="00480878"/>
    <w:rsid w:val="004809C4"/>
    <w:rsid w:val="00484C95"/>
    <w:rsid w:val="00494D68"/>
    <w:rsid w:val="004A6CC8"/>
    <w:rsid w:val="004B03F2"/>
    <w:rsid w:val="004B192D"/>
    <w:rsid w:val="004B377D"/>
    <w:rsid w:val="004B5929"/>
    <w:rsid w:val="004C1481"/>
    <w:rsid w:val="004C3378"/>
    <w:rsid w:val="004C48C6"/>
    <w:rsid w:val="004C4E9F"/>
    <w:rsid w:val="004E39FA"/>
    <w:rsid w:val="004F7653"/>
    <w:rsid w:val="00501861"/>
    <w:rsid w:val="005027E0"/>
    <w:rsid w:val="00510DF2"/>
    <w:rsid w:val="00524649"/>
    <w:rsid w:val="00524F5E"/>
    <w:rsid w:val="005367A8"/>
    <w:rsid w:val="0054005A"/>
    <w:rsid w:val="00546D2A"/>
    <w:rsid w:val="00547335"/>
    <w:rsid w:val="0054779C"/>
    <w:rsid w:val="005614FA"/>
    <w:rsid w:val="0056254B"/>
    <w:rsid w:val="00567227"/>
    <w:rsid w:val="005677B8"/>
    <w:rsid w:val="00583BE8"/>
    <w:rsid w:val="005849AC"/>
    <w:rsid w:val="00585B68"/>
    <w:rsid w:val="00587E15"/>
    <w:rsid w:val="00592625"/>
    <w:rsid w:val="005A1DD1"/>
    <w:rsid w:val="005A5177"/>
    <w:rsid w:val="005A666A"/>
    <w:rsid w:val="005B283E"/>
    <w:rsid w:val="005B31BD"/>
    <w:rsid w:val="005B5FF7"/>
    <w:rsid w:val="005B6C17"/>
    <w:rsid w:val="005C6F96"/>
    <w:rsid w:val="005C7C5C"/>
    <w:rsid w:val="005D55AF"/>
    <w:rsid w:val="005D5622"/>
    <w:rsid w:val="005E1917"/>
    <w:rsid w:val="005F0344"/>
    <w:rsid w:val="006100EC"/>
    <w:rsid w:val="00614C0A"/>
    <w:rsid w:val="00620F9A"/>
    <w:rsid w:val="0062376C"/>
    <w:rsid w:val="0062441B"/>
    <w:rsid w:val="006262A9"/>
    <w:rsid w:val="0062712E"/>
    <w:rsid w:val="00635F0D"/>
    <w:rsid w:val="0063622D"/>
    <w:rsid w:val="006434AA"/>
    <w:rsid w:val="006547BE"/>
    <w:rsid w:val="00667CD1"/>
    <w:rsid w:val="006774B5"/>
    <w:rsid w:val="006844BC"/>
    <w:rsid w:val="00691AAE"/>
    <w:rsid w:val="006A5728"/>
    <w:rsid w:val="006C001F"/>
    <w:rsid w:val="006C2160"/>
    <w:rsid w:val="006D0497"/>
    <w:rsid w:val="006E228A"/>
    <w:rsid w:val="006F2FFF"/>
    <w:rsid w:val="00701EE5"/>
    <w:rsid w:val="007206F4"/>
    <w:rsid w:val="00721DFA"/>
    <w:rsid w:val="00722094"/>
    <w:rsid w:val="00731883"/>
    <w:rsid w:val="00733820"/>
    <w:rsid w:val="0073671A"/>
    <w:rsid w:val="00736BAA"/>
    <w:rsid w:val="00737075"/>
    <w:rsid w:val="00741120"/>
    <w:rsid w:val="0074418D"/>
    <w:rsid w:val="00755DE9"/>
    <w:rsid w:val="007577DF"/>
    <w:rsid w:val="0076067A"/>
    <w:rsid w:val="00766EB6"/>
    <w:rsid w:val="007706E9"/>
    <w:rsid w:val="00774E97"/>
    <w:rsid w:val="007810E9"/>
    <w:rsid w:val="0079052E"/>
    <w:rsid w:val="007916C1"/>
    <w:rsid w:val="00791F82"/>
    <w:rsid w:val="0079462B"/>
    <w:rsid w:val="007A63CE"/>
    <w:rsid w:val="007A7854"/>
    <w:rsid w:val="007C0AC9"/>
    <w:rsid w:val="007C1B69"/>
    <w:rsid w:val="007C43B4"/>
    <w:rsid w:val="007D49E5"/>
    <w:rsid w:val="007E0A3C"/>
    <w:rsid w:val="007E2035"/>
    <w:rsid w:val="007E2FE9"/>
    <w:rsid w:val="007E515B"/>
    <w:rsid w:val="007F0528"/>
    <w:rsid w:val="007F1DD7"/>
    <w:rsid w:val="007F343B"/>
    <w:rsid w:val="00813038"/>
    <w:rsid w:val="00821A39"/>
    <w:rsid w:val="00822F04"/>
    <w:rsid w:val="00823187"/>
    <w:rsid w:val="008261D1"/>
    <w:rsid w:val="008407BC"/>
    <w:rsid w:val="00840859"/>
    <w:rsid w:val="00840970"/>
    <w:rsid w:val="00843E8B"/>
    <w:rsid w:val="00850324"/>
    <w:rsid w:val="00851ABA"/>
    <w:rsid w:val="00852024"/>
    <w:rsid w:val="00855E5F"/>
    <w:rsid w:val="008618D6"/>
    <w:rsid w:val="00882A4D"/>
    <w:rsid w:val="0089261F"/>
    <w:rsid w:val="008B3AE5"/>
    <w:rsid w:val="008B7322"/>
    <w:rsid w:val="008C2117"/>
    <w:rsid w:val="008C2260"/>
    <w:rsid w:val="008C3C19"/>
    <w:rsid w:val="008D4D17"/>
    <w:rsid w:val="008E3514"/>
    <w:rsid w:val="008E610E"/>
    <w:rsid w:val="008F0063"/>
    <w:rsid w:val="008F13A3"/>
    <w:rsid w:val="008F57A4"/>
    <w:rsid w:val="00901169"/>
    <w:rsid w:val="0091304F"/>
    <w:rsid w:val="00920034"/>
    <w:rsid w:val="009305E2"/>
    <w:rsid w:val="00930B63"/>
    <w:rsid w:val="00931E8C"/>
    <w:rsid w:val="00944635"/>
    <w:rsid w:val="00962E5A"/>
    <w:rsid w:val="009646AA"/>
    <w:rsid w:val="009665E8"/>
    <w:rsid w:val="009900C5"/>
    <w:rsid w:val="00991596"/>
    <w:rsid w:val="00993E6A"/>
    <w:rsid w:val="0099486E"/>
    <w:rsid w:val="009A0931"/>
    <w:rsid w:val="009A197D"/>
    <w:rsid w:val="009E5177"/>
    <w:rsid w:val="009F51CC"/>
    <w:rsid w:val="00A02589"/>
    <w:rsid w:val="00A11008"/>
    <w:rsid w:val="00A139C2"/>
    <w:rsid w:val="00A226F5"/>
    <w:rsid w:val="00A229D6"/>
    <w:rsid w:val="00A32026"/>
    <w:rsid w:val="00A3693C"/>
    <w:rsid w:val="00A37754"/>
    <w:rsid w:val="00A53A90"/>
    <w:rsid w:val="00A6138B"/>
    <w:rsid w:val="00A61DE2"/>
    <w:rsid w:val="00A63311"/>
    <w:rsid w:val="00A73347"/>
    <w:rsid w:val="00A765E2"/>
    <w:rsid w:val="00A870C8"/>
    <w:rsid w:val="00A90635"/>
    <w:rsid w:val="00A938A9"/>
    <w:rsid w:val="00A95166"/>
    <w:rsid w:val="00A97425"/>
    <w:rsid w:val="00AA650A"/>
    <w:rsid w:val="00AB2C2A"/>
    <w:rsid w:val="00AB721F"/>
    <w:rsid w:val="00AC6887"/>
    <w:rsid w:val="00AD6475"/>
    <w:rsid w:val="00AF041F"/>
    <w:rsid w:val="00AF6842"/>
    <w:rsid w:val="00B04255"/>
    <w:rsid w:val="00B20042"/>
    <w:rsid w:val="00B27B30"/>
    <w:rsid w:val="00B32C1B"/>
    <w:rsid w:val="00B42EB2"/>
    <w:rsid w:val="00B44221"/>
    <w:rsid w:val="00B470BC"/>
    <w:rsid w:val="00B6318B"/>
    <w:rsid w:val="00B6386D"/>
    <w:rsid w:val="00B64BEE"/>
    <w:rsid w:val="00B65CCB"/>
    <w:rsid w:val="00B812CE"/>
    <w:rsid w:val="00B81F1A"/>
    <w:rsid w:val="00B8549A"/>
    <w:rsid w:val="00B9386A"/>
    <w:rsid w:val="00B93B05"/>
    <w:rsid w:val="00BA3755"/>
    <w:rsid w:val="00BB0DB7"/>
    <w:rsid w:val="00BB0EFD"/>
    <w:rsid w:val="00BB15E0"/>
    <w:rsid w:val="00BB50CA"/>
    <w:rsid w:val="00BC3CBB"/>
    <w:rsid w:val="00BE4CD2"/>
    <w:rsid w:val="00BE7A5D"/>
    <w:rsid w:val="00BF3194"/>
    <w:rsid w:val="00C0076F"/>
    <w:rsid w:val="00C037A3"/>
    <w:rsid w:val="00C03B82"/>
    <w:rsid w:val="00C07FD3"/>
    <w:rsid w:val="00C156AB"/>
    <w:rsid w:val="00C164CF"/>
    <w:rsid w:val="00C179F2"/>
    <w:rsid w:val="00C21B8C"/>
    <w:rsid w:val="00C24D76"/>
    <w:rsid w:val="00C40712"/>
    <w:rsid w:val="00C41F55"/>
    <w:rsid w:val="00C44334"/>
    <w:rsid w:val="00C57C64"/>
    <w:rsid w:val="00C678B6"/>
    <w:rsid w:val="00C72C62"/>
    <w:rsid w:val="00C736C2"/>
    <w:rsid w:val="00C75638"/>
    <w:rsid w:val="00C92DA9"/>
    <w:rsid w:val="00C966A0"/>
    <w:rsid w:val="00CA53FA"/>
    <w:rsid w:val="00CB0811"/>
    <w:rsid w:val="00CB0E85"/>
    <w:rsid w:val="00CB48FF"/>
    <w:rsid w:val="00CC0D70"/>
    <w:rsid w:val="00CC5493"/>
    <w:rsid w:val="00CC7C97"/>
    <w:rsid w:val="00CC7D2E"/>
    <w:rsid w:val="00CD51C2"/>
    <w:rsid w:val="00CD72CB"/>
    <w:rsid w:val="00CD7456"/>
    <w:rsid w:val="00CE1ABD"/>
    <w:rsid w:val="00CE267F"/>
    <w:rsid w:val="00CE4244"/>
    <w:rsid w:val="00CE441C"/>
    <w:rsid w:val="00CE526E"/>
    <w:rsid w:val="00CF63E2"/>
    <w:rsid w:val="00D07651"/>
    <w:rsid w:val="00D12EFE"/>
    <w:rsid w:val="00D2328C"/>
    <w:rsid w:val="00D254BB"/>
    <w:rsid w:val="00D254CE"/>
    <w:rsid w:val="00D25D24"/>
    <w:rsid w:val="00D374D8"/>
    <w:rsid w:val="00D53931"/>
    <w:rsid w:val="00D6294A"/>
    <w:rsid w:val="00D81FE2"/>
    <w:rsid w:val="00D8337F"/>
    <w:rsid w:val="00D84D96"/>
    <w:rsid w:val="00D90992"/>
    <w:rsid w:val="00DA3A82"/>
    <w:rsid w:val="00DA628C"/>
    <w:rsid w:val="00DA7BB9"/>
    <w:rsid w:val="00DB48E5"/>
    <w:rsid w:val="00DB5B36"/>
    <w:rsid w:val="00DC155A"/>
    <w:rsid w:val="00DC22B5"/>
    <w:rsid w:val="00DC6E1F"/>
    <w:rsid w:val="00DD173A"/>
    <w:rsid w:val="00DD40B2"/>
    <w:rsid w:val="00DD77F3"/>
    <w:rsid w:val="00DF2C80"/>
    <w:rsid w:val="00E15E22"/>
    <w:rsid w:val="00E21CC4"/>
    <w:rsid w:val="00E2235D"/>
    <w:rsid w:val="00E2311A"/>
    <w:rsid w:val="00E23BF0"/>
    <w:rsid w:val="00E307AC"/>
    <w:rsid w:val="00E4118C"/>
    <w:rsid w:val="00E4522A"/>
    <w:rsid w:val="00E532B6"/>
    <w:rsid w:val="00E64279"/>
    <w:rsid w:val="00E669C8"/>
    <w:rsid w:val="00E67D6E"/>
    <w:rsid w:val="00E755DE"/>
    <w:rsid w:val="00E86051"/>
    <w:rsid w:val="00E94648"/>
    <w:rsid w:val="00E97012"/>
    <w:rsid w:val="00EA4085"/>
    <w:rsid w:val="00EA4B51"/>
    <w:rsid w:val="00EA5A43"/>
    <w:rsid w:val="00EB0F56"/>
    <w:rsid w:val="00EB1444"/>
    <w:rsid w:val="00EB4960"/>
    <w:rsid w:val="00EB6805"/>
    <w:rsid w:val="00EB6D96"/>
    <w:rsid w:val="00EC1155"/>
    <w:rsid w:val="00EC353E"/>
    <w:rsid w:val="00EE23E0"/>
    <w:rsid w:val="00EF25C0"/>
    <w:rsid w:val="00EF540A"/>
    <w:rsid w:val="00EF66EB"/>
    <w:rsid w:val="00EF68D5"/>
    <w:rsid w:val="00F100F9"/>
    <w:rsid w:val="00F12DF8"/>
    <w:rsid w:val="00F17DF9"/>
    <w:rsid w:val="00F27AE1"/>
    <w:rsid w:val="00F30F87"/>
    <w:rsid w:val="00F32C28"/>
    <w:rsid w:val="00F33506"/>
    <w:rsid w:val="00F348DA"/>
    <w:rsid w:val="00F34BA0"/>
    <w:rsid w:val="00F46AE1"/>
    <w:rsid w:val="00F5012E"/>
    <w:rsid w:val="00F524DC"/>
    <w:rsid w:val="00F74C8A"/>
    <w:rsid w:val="00F77D2B"/>
    <w:rsid w:val="00F82471"/>
    <w:rsid w:val="00F832C7"/>
    <w:rsid w:val="00F84516"/>
    <w:rsid w:val="00F847A9"/>
    <w:rsid w:val="00F84C75"/>
    <w:rsid w:val="00F84F1F"/>
    <w:rsid w:val="00FA21AD"/>
    <w:rsid w:val="00FA40C3"/>
    <w:rsid w:val="00FB41E7"/>
    <w:rsid w:val="00FB66E9"/>
    <w:rsid w:val="00FC4D00"/>
    <w:rsid w:val="00FC6087"/>
    <w:rsid w:val="00FD0006"/>
    <w:rsid w:val="00FD2D7C"/>
    <w:rsid w:val="00FD3197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2712E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712E"/>
  </w:style>
  <w:style w:type="paragraph" w:styleId="Footer">
    <w:name w:val="footer"/>
    <w:basedOn w:val="Normal"/>
    <w:rsid w:val="0062712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2712E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62712E"/>
    <w:pPr>
      <w:ind w:left="720" w:hanging="720"/>
    </w:pPr>
    <w:rPr>
      <w:b/>
    </w:rPr>
  </w:style>
  <w:style w:type="paragraph" w:styleId="BodyTextIndent3">
    <w:name w:val="Body Text Indent 3"/>
    <w:basedOn w:val="Normal"/>
    <w:rsid w:val="0062712E"/>
    <w:pPr>
      <w:ind w:left="720" w:hanging="720"/>
    </w:pPr>
  </w:style>
  <w:style w:type="paragraph" w:styleId="BodyText">
    <w:name w:val="Body Text"/>
    <w:basedOn w:val="Normal"/>
    <w:rsid w:val="0062712E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44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C128-57F4-43B8-9EDE-AD504637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1645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10991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NYS</dc:creator>
  <cp:keywords/>
  <dc:description/>
  <cp:lastModifiedBy>SDK</cp:lastModifiedBy>
  <cp:revision>110</cp:revision>
  <cp:lastPrinted>2010-05-25T19:11:00Z</cp:lastPrinted>
  <dcterms:created xsi:type="dcterms:W3CDTF">2014-02-03T13:47:00Z</dcterms:created>
  <dcterms:modified xsi:type="dcterms:W3CDTF">2015-02-27T17:19:00Z</dcterms:modified>
</cp:coreProperties>
</file>